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D628" w14:textId="77777777" w:rsidR="00B3068E" w:rsidRPr="00F320EF" w:rsidRDefault="00B3068E" w:rsidP="002B4934">
      <w:pPr>
        <w:pStyle w:val="Heading1"/>
        <w:spacing w:after="360"/>
        <w:ind w:left="2160" w:hanging="2160"/>
        <w:jc w:val="left"/>
      </w:pPr>
      <w:bookmarkStart w:id="0" w:name="_Toc499806191"/>
      <w:r w:rsidRPr="00F320EF">
        <w:t>DUCrimR 12-1</w:t>
      </w:r>
      <w:r w:rsidRPr="00F320EF">
        <w:tab/>
        <w:t>PRETRIAL MOTIONS: TIMING, FORM, HEARINGS, MOTIONS TO SUPPRESS, CERTIFICATION, AND ORDERS; MOTIONS UNDER THE SPEEDY TRIAL ACT</w:t>
      </w:r>
      <w:bookmarkEnd w:id="0"/>
    </w:p>
    <w:p w14:paraId="10DE565D" w14:textId="173153B3" w:rsidR="007E47BC" w:rsidRDefault="007E47BC" w:rsidP="00ED7D4C">
      <w:pPr>
        <w:pStyle w:val="ListParagraph"/>
        <w:numPr>
          <w:ilvl w:val="0"/>
          <w:numId w:val="1"/>
        </w:numPr>
        <w:spacing w:after="0" w:line="360" w:lineRule="auto"/>
        <w:ind w:left="720" w:hanging="720"/>
      </w:pPr>
      <w:bookmarkStart w:id="1" w:name="_Toc499806199"/>
      <w:r w:rsidRPr="00ED7D4C">
        <w:rPr>
          <w:rStyle w:val="Strong"/>
          <w:u w:val="single"/>
        </w:rPr>
        <w:t>Motions Under the Speedy Trial Act (18 U.S.C. §</w:t>
      </w:r>
      <w:r w:rsidRPr="00185E60">
        <w:rPr>
          <w:rStyle w:val="Strong"/>
          <w:u w:val="single"/>
        </w:rPr>
        <w:t xml:space="preserve"> </w:t>
      </w:r>
      <w:r w:rsidRPr="00ED7D4C">
        <w:rPr>
          <w:rStyle w:val="Strong"/>
          <w:u w:val="single"/>
        </w:rPr>
        <w:t>3161</w:t>
      </w:r>
      <w:bookmarkEnd w:id="1"/>
      <w:r w:rsidRPr="00185E60">
        <w:rPr>
          <w:rStyle w:val="Strong"/>
          <w:u w:val="single"/>
        </w:rPr>
        <w:t>)</w:t>
      </w:r>
      <w:r>
        <w:rPr>
          <w:rStyle w:val="Strong"/>
        </w:rPr>
        <w:t>.</w:t>
      </w:r>
    </w:p>
    <w:p w14:paraId="3CA3D5CC" w14:textId="1F24E965" w:rsidR="007E47BC" w:rsidRDefault="009D0BD5" w:rsidP="00ED7D4C">
      <w:pPr>
        <w:pStyle w:val="NormalWeb"/>
        <w:spacing w:before="0" w:beforeAutospacing="0" w:after="0" w:afterAutospacing="0" w:line="360" w:lineRule="auto"/>
        <w:ind w:left="720"/>
      </w:pPr>
      <w:r>
        <w:t>A</w:t>
      </w:r>
      <w:r w:rsidR="007E47BC">
        <w:t xml:space="preserve"> motion</w:t>
      </w:r>
      <w:r w:rsidR="007E47BC">
        <w:t xml:space="preserve"> for continuance under the Speedy Trial Act </w:t>
      </w:r>
      <w:r w:rsidR="00EB3811">
        <w:t>must</w:t>
      </w:r>
      <w:r w:rsidR="00EB3811">
        <w:t xml:space="preserve"> </w:t>
      </w:r>
      <w:r w:rsidR="007E47BC">
        <w:t>state:</w:t>
      </w:r>
    </w:p>
    <w:p w14:paraId="744DCCCC" w14:textId="255ABF99" w:rsidR="007E47BC" w:rsidRDefault="007E47BC" w:rsidP="00185E60">
      <w:pPr>
        <w:pStyle w:val="ListParagraph"/>
        <w:numPr>
          <w:ilvl w:val="1"/>
          <w:numId w:val="1"/>
        </w:numPr>
        <w:spacing w:after="0" w:line="360" w:lineRule="auto"/>
        <w:ind w:left="1440" w:hanging="720"/>
      </w:pPr>
      <w:r>
        <w:t>the event and date that activated the time limits of the Speedy Trial Act</w:t>
      </w:r>
      <w:r>
        <w:t>;</w:t>
      </w:r>
    </w:p>
    <w:p w14:paraId="67B69835" w14:textId="257525C7" w:rsidR="007E47BC" w:rsidRDefault="007E47BC" w:rsidP="00ED7D4C">
      <w:pPr>
        <w:pStyle w:val="ListParagraph"/>
        <w:numPr>
          <w:ilvl w:val="1"/>
          <w:numId w:val="1"/>
        </w:numPr>
        <w:spacing w:after="0" w:line="360" w:lineRule="auto"/>
        <w:ind w:left="1440" w:hanging="720"/>
      </w:pPr>
      <w:r>
        <w:t xml:space="preserve">the </w:t>
      </w:r>
      <w:r w:rsidR="00FC73E0">
        <w:t>current</w:t>
      </w:r>
      <w:r w:rsidR="00FC73E0">
        <w:t xml:space="preserve"> trial </w:t>
      </w:r>
      <w:r>
        <w:t>date;</w:t>
      </w:r>
    </w:p>
    <w:p w14:paraId="62FA0AE2" w14:textId="4E9F56CA" w:rsidR="007E47BC" w:rsidRDefault="007E47BC" w:rsidP="00185E60">
      <w:pPr>
        <w:pStyle w:val="ListParagraph"/>
        <w:numPr>
          <w:ilvl w:val="1"/>
          <w:numId w:val="1"/>
        </w:numPr>
        <w:spacing w:after="0" w:line="360" w:lineRule="auto"/>
        <w:ind w:left="1440" w:hanging="720"/>
      </w:pPr>
      <w:r>
        <w:t xml:space="preserve">whether previous motions for </w:t>
      </w:r>
      <w:r>
        <w:t>continuance</w:t>
      </w:r>
      <w:r>
        <w:t xml:space="preserve"> have been made</w:t>
      </w:r>
      <w:r>
        <w:t xml:space="preserve"> </w:t>
      </w:r>
      <w:r w:rsidR="00FC73E0">
        <w:t>and</w:t>
      </w:r>
      <w:r w:rsidR="00FC73E0">
        <w:t xml:space="preserve"> </w:t>
      </w:r>
      <w:r>
        <w:t>the disposition of the motions</w:t>
      </w:r>
      <w:r>
        <w:t>;</w:t>
      </w:r>
    </w:p>
    <w:p w14:paraId="2D8073F1" w14:textId="09ECA5F0" w:rsidR="007E47BC" w:rsidRDefault="007E47BC" w:rsidP="00ED7D4C">
      <w:pPr>
        <w:pStyle w:val="ListParagraph"/>
        <w:numPr>
          <w:ilvl w:val="1"/>
          <w:numId w:val="1"/>
        </w:numPr>
        <w:spacing w:after="0" w:line="360" w:lineRule="auto"/>
        <w:ind w:left="1440" w:hanging="720"/>
      </w:pPr>
      <w:r>
        <w:t xml:space="preserve">whether the delay resulting from </w:t>
      </w:r>
      <w:r>
        <w:t xml:space="preserve">the requested </w:t>
      </w:r>
      <w:r>
        <w:t xml:space="preserve">continuance </w:t>
      </w:r>
      <w:r>
        <w:t>is</w:t>
      </w:r>
      <w:r>
        <w:t xml:space="preserve"> excludable under the Speedy Trial Act</w:t>
      </w:r>
      <w:r w:rsidR="00FC73E0">
        <w:t>, including citation to the specific statutory provision(s)</w:t>
      </w:r>
      <w:r>
        <w:t>;</w:t>
      </w:r>
    </w:p>
    <w:p w14:paraId="33ECB759" w14:textId="7FE372DA" w:rsidR="007E47BC" w:rsidRDefault="007E47BC" w:rsidP="00ED7D4C">
      <w:pPr>
        <w:pStyle w:val="ListParagraph"/>
        <w:numPr>
          <w:ilvl w:val="1"/>
          <w:numId w:val="1"/>
        </w:numPr>
        <w:spacing w:after="0" w:line="360" w:lineRule="auto"/>
        <w:ind w:left="1440" w:hanging="720"/>
      </w:pPr>
      <w:r>
        <w:t xml:space="preserve">specific reasons for the requested </w:t>
      </w:r>
      <w:r>
        <w:t>continuance</w:t>
      </w:r>
      <w:r w:rsidR="00FC73E0">
        <w:t xml:space="preserve"> supported by factual assertions, an explanation why the stated reasons support the need for the requested </w:t>
      </w:r>
      <w:r w:rsidR="00FC73E0">
        <w:t xml:space="preserve">continuance, </w:t>
      </w:r>
      <w:r w:rsidR="00FC73E0">
        <w:t>and an explanation</w:t>
      </w:r>
      <w:r w:rsidR="00730C66">
        <w:t xml:space="preserve"> </w:t>
      </w:r>
      <w:r>
        <w:t>why the act</w:t>
      </w:r>
      <w:r w:rsidR="00FC73E0">
        <w:t>(s)</w:t>
      </w:r>
      <w:r>
        <w:t xml:space="preserve"> cannot be </w:t>
      </w:r>
      <w:r w:rsidR="00FC73E0">
        <w:t xml:space="preserve">completed or the event(s) cannot occur </w:t>
      </w:r>
      <w:r>
        <w:t>within the originally allotted time;</w:t>
      </w:r>
    </w:p>
    <w:p w14:paraId="72229495" w14:textId="17534F72" w:rsidR="00FC73E0" w:rsidRDefault="00FC73E0" w:rsidP="00185E60">
      <w:pPr>
        <w:pStyle w:val="ListParagraph"/>
        <w:numPr>
          <w:ilvl w:val="2"/>
          <w:numId w:val="1"/>
        </w:numPr>
        <w:spacing w:after="0" w:line="360" w:lineRule="auto"/>
        <w:ind w:left="2160" w:hanging="720"/>
      </w:pPr>
      <w:r w:rsidRPr="00FC73E0">
        <w:t xml:space="preserve">If the motion seeks an ends-of-justice </w:t>
      </w:r>
      <w:r w:rsidR="00342507">
        <w:t>continuance</w:t>
      </w:r>
      <w:r w:rsidR="00342507" w:rsidRPr="00FC73E0">
        <w:t xml:space="preserve"> </w:t>
      </w:r>
      <w:r w:rsidR="009D0BD5">
        <w:t>under</w:t>
      </w:r>
      <w:r w:rsidR="009D0BD5" w:rsidRPr="00FC73E0">
        <w:t xml:space="preserve"> </w:t>
      </w:r>
      <w:r w:rsidRPr="00FC73E0">
        <w:t>18 U.S.C. §</w:t>
      </w:r>
      <w:r>
        <w:t xml:space="preserve"> </w:t>
      </w:r>
      <w:r w:rsidRPr="00FC73E0">
        <w:t>3161(h)(7)(</w:t>
      </w:r>
      <w:r>
        <w:t>A</w:t>
      </w:r>
      <w:r w:rsidRPr="00FC73E0">
        <w:t>)</w:t>
      </w:r>
      <w:r>
        <w:t>, the motion must address all relevant factors under 18 U.S.C. § 3161(h)(7)(B)</w:t>
      </w:r>
      <w:r w:rsidRPr="00FC73E0">
        <w:t xml:space="preserve"> and include a discussion of how the stated reasons justify a continuance under each applicable factor. If a continuance is requested </w:t>
      </w:r>
      <w:r w:rsidR="009D0BD5">
        <w:t>under</w:t>
      </w:r>
      <w:r w:rsidRPr="00FC73E0">
        <w:t xml:space="preserve"> </w:t>
      </w:r>
      <w:r w:rsidR="00FE274B">
        <w:t>1</w:t>
      </w:r>
      <w:r w:rsidRPr="00FC73E0">
        <w:t xml:space="preserve">8 U.S.C. §3161(h)(7)(B)(iv) because additional time is required for effective preparation, the moving party must provide sufficient factual assertions to allow the </w:t>
      </w:r>
      <w:r w:rsidR="002B4934">
        <w:t>c</w:t>
      </w:r>
      <w:r w:rsidR="006C381C" w:rsidRPr="00FC73E0">
        <w:t xml:space="preserve">ourt </w:t>
      </w:r>
      <w:r w:rsidRPr="00FC73E0">
        <w:t>to determine whether counsel has exercised due diligence, including a summary of what steps counsel has taken to prepare for trial and what preparations remain, consistent with counsel’s obligation to protect privileges and trial strategy.</w:t>
      </w:r>
    </w:p>
    <w:p w14:paraId="1B42A029" w14:textId="2B31A3EF" w:rsidR="007E47BC" w:rsidRDefault="007E47BC" w:rsidP="00185E60">
      <w:pPr>
        <w:pStyle w:val="ListParagraph"/>
        <w:numPr>
          <w:ilvl w:val="2"/>
          <w:numId w:val="1"/>
        </w:numPr>
        <w:spacing w:after="0" w:line="360" w:lineRule="auto"/>
        <w:ind w:left="2160" w:hanging="720"/>
      </w:pPr>
      <w:r>
        <w:t xml:space="preserve">If the </w:t>
      </w:r>
      <w:r w:rsidR="00342507">
        <w:t xml:space="preserve">motion seeks a continuance because </w:t>
      </w:r>
      <w:r>
        <w:t>other litigation presents a scheduling conflict, the motion must:</w:t>
      </w:r>
    </w:p>
    <w:p w14:paraId="222C4C65" w14:textId="77777777" w:rsidR="00185E60" w:rsidRDefault="007E47BC" w:rsidP="00ED7D4C">
      <w:pPr>
        <w:pStyle w:val="ListParagraph"/>
        <w:numPr>
          <w:ilvl w:val="3"/>
          <w:numId w:val="1"/>
        </w:numPr>
        <w:spacing w:after="0" w:line="360" w:lineRule="auto"/>
        <w:ind w:left="2880" w:hanging="720"/>
      </w:pPr>
      <w:r>
        <w:t>identify the litigation by caption, case number, and court;</w:t>
      </w:r>
    </w:p>
    <w:p w14:paraId="7E4C546A" w14:textId="75023A4B" w:rsidR="00185E60" w:rsidRDefault="00F20278" w:rsidP="00ED7D4C">
      <w:pPr>
        <w:pStyle w:val="ListParagraph"/>
        <w:numPr>
          <w:ilvl w:val="3"/>
          <w:numId w:val="1"/>
        </w:numPr>
        <w:spacing w:after="0" w:line="360" w:lineRule="auto"/>
        <w:ind w:left="2880" w:hanging="720"/>
      </w:pPr>
      <w:r>
        <w:t>list</w:t>
      </w:r>
      <w:r>
        <w:t xml:space="preserve"> the </w:t>
      </w:r>
      <w:r>
        <w:t>date(s) of</w:t>
      </w:r>
      <w:r>
        <w:t xml:space="preserve"> </w:t>
      </w:r>
      <w:r w:rsidR="007E47BC">
        <w:t>the other litigation</w:t>
      </w:r>
      <w:r>
        <w:t xml:space="preserve">, </w:t>
      </w:r>
      <w:r>
        <w:t>explain why it precludes counsel from adequately preparing for the instant trial, and</w:t>
      </w:r>
      <w:r>
        <w:t xml:space="preserve"> why the </w:t>
      </w:r>
      <w:r>
        <w:lastRenderedPageBreak/>
        <w:t>trial or the conflicting</w:t>
      </w:r>
      <w:r>
        <w:t xml:space="preserve"> litigation cannot </w:t>
      </w:r>
      <w:r>
        <w:t>be handled by another attorney</w:t>
      </w:r>
      <w:r w:rsidR="007E47BC">
        <w:t>;</w:t>
      </w:r>
      <w:r>
        <w:t xml:space="preserve"> and</w:t>
      </w:r>
    </w:p>
    <w:p w14:paraId="6606FBAA" w14:textId="718341CF" w:rsidR="007E47BC" w:rsidRDefault="007E47BC" w:rsidP="00ED7D4C">
      <w:pPr>
        <w:pStyle w:val="ListParagraph"/>
        <w:numPr>
          <w:ilvl w:val="3"/>
          <w:numId w:val="1"/>
        </w:numPr>
        <w:spacing w:after="0" w:line="360" w:lineRule="auto"/>
        <w:ind w:left="2880" w:hanging="720"/>
      </w:pPr>
      <w:r>
        <w:t>recite any other relevant circumstances.</w:t>
      </w:r>
    </w:p>
    <w:p w14:paraId="34F1A07F" w14:textId="07566D04" w:rsidR="007E47BC" w:rsidRDefault="007E47BC" w:rsidP="00ED7D4C">
      <w:pPr>
        <w:pStyle w:val="ListParagraph"/>
        <w:numPr>
          <w:ilvl w:val="2"/>
          <w:numId w:val="1"/>
        </w:numPr>
        <w:spacing w:after="0" w:line="360" w:lineRule="auto"/>
        <w:ind w:left="2160" w:hanging="720"/>
      </w:pPr>
      <w:r>
        <w:t xml:space="preserve">If </w:t>
      </w:r>
      <w:r w:rsidR="00FC7122">
        <w:t xml:space="preserve">the motion seeks </w:t>
      </w:r>
      <w:r w:rsidR="00F20278">
        <w:t xml:space="preserve">a </w:t>
      </w:r>
      <w:r w:rsidR="00FE274B">
        <w:t>continuance</w:t>
      </w:r>
      <w:r>
        <w:t xml:space="preserve"> </w:t>
      </w:r>
      <w:r w:rsidR="00FC7122">
        <w:t>because of</w:t>
      </w:r>
      <w:r w:rsidR="00FC7122">
        <w:t xml:space="preserve"> the </w:t>
      </w:r>
      <w:r>
        <w:t xml:space="preserve">complexity of the case, including voluminous discovery, the motion must include specific </w:t>
      </w:r>
      <w:r w:rsidR="00F20278">
        <w:t>factual assertions</w:t>
      </w:r>
      <w:r w:rsidR="00F20278">
        <w:t xml:space="preserve"> </w:t>
      </w:r>
      <w:r>
        <w:t>demonstrating such complexity.</w:t>
      </w:r>
    </w:p>
    <w:p w14:paraId="34A6E5A7" w14:textId="1CBCD1A0" w:rsidR="007E47BC" w:rsidRDefault="007E47BC" w:rsidP="00ED7D4C">
      <w:pPr>
        <w:pStyle w:val="ListParagraph"/>
        <w:numPr>
          <w:ilvl w:val="2"/>
          <w:numId w:val="1"/>
        </w:numPr>
        <w:spacing w:after="0" w:line="360" w:lineRule="auto"/>
        <w:ind w:left="2160" w:hanging="720"/>
      </w:pPr>
      <w:r>
        <w:t xml:space="preserve">If the motion </w:t>
      </w:r>
      <w:r w:rsidR="00FC7122">
        <w:t xml:space="preserve">seeks a continuance because of </w:t>
      </w:r>
      <w:r>
        <w:t xml:space="preserve">some type of personal hardship </w:t>
      </w:r>
      <w:r w:rsidR="00FC7122">
        <w:t>for</w:t>
      </w:r>
      <w:r w:rsidR="00FC7122">
        <w:t xml:space="preserve"> </w:t>
      </w:r>
      <w:r>
        <w:t xml:space="preserve">counsel or the client, the motion must </w:t>
      </w:r>
      <w:r w:rsidR="00F20278">
        <w:t>include</w:t>
      </w:r>
      <w:r w:rsidR="00F20278">
        <w:t xml:space="preserve"> </w:t>
      </w:r>
      <w:r>
        <w:t xml:space="preserve">specific </w:t>
      </w:r>
      <w:r w:rsidR="00F20278">
        <w:t xml:space="preserve">factual assertions </w:t>
      </w:r>
      <w:r w:rsidR="003A1B59">
        <w:t>regarding</w:t>
      </w:r>
      <w:r w:rsidR="00F20278">
        <w:t xml:space="preserve"> the </w:t>
      </w:r>
      <w:r>
        <w:t>nature of that hardship and when the hardship might be resolved</w:t>
      </w:r>
      <w:r>
        <w:t>.</w:t>
      </w:r>
      <w:r w:rsidR="00F20278">
        <w:t xml:space="preserve"> The movant may file the motion under seal </w:t>
      </w:r>
      <w:r w:rsidR="009D0BD5">
        <w:t>under</w:t>
      </w:r>
      <w:r w:rsidR="00F20278">
        <w:t xml:space="preserve"> </w:t>
      </w:r>
      <w:proofErr w:type="spellStart"/>
      <w:r w:rsidR="00F20278">
        <w:t>DUCrimR</w:t>
      </w:r>
      <w:proofErr w:type="spellEnd"/>
      <w:r w:rsidR="00F20278">
        <w:t xml:space="preserve"> 49-2.</w:t>
      </w:r>
    </w:p>
    <w:p w14:paraId="507A7116" w14:textId="12C29C07" w:rsidR="00F20278" w:rsidRDefault="00F20278" w:rsidP="00C76D69">
      <w:pPr>
        <w:pStyle w:val="ListParagraph"/>
        <w:numPr>
          <w:ilvl w:val="1"/>
          <w:numId w:val="1"/>
        </w:numPr>
        <w:spacing w:after="0" w:line="360" w:lineRule="auto"/>
        <w:ind w:left="1440" w:hanging="720"/>
      </w:pPr>
      <w:r>
        <w:t>the period of continuance and other relief requested by the motion;</w:t>
      </w:r>
    </w:p>
    <w:p w14:paraId="01C51662" w14:textId="4EE87529" w:rsidR="007E47BC" w:rsidRDefault="00F20278" w:rsidP="00ED7D4C">
      <w:pPr>
        <w:pStyle w:val="ListParagraph"/>
        <w:numPr>
          <w:ilvl w:val="1"/>
          <w:numId w:val="1"/>
        </w:numPr>
        <w:spacing w:after="0" w:line="360" w:lineRule="auto"/>
        <w:ind w:left="1440" w:hanging="720"/>
      </w:pPr>
      <w:r>
        <w:t>a specific</w:t>
      </w:r>
      <w:r>
        <w:t xml:space="preserve"> </w:t>
      </w:r>
      <w:r w:rsidR="007E47BC">
        <w:t>explanation</w:t>
      </w:r>
      <w:r>
        <w:t>, supported by factual assertions,</w:t>
      </w:r>
      <w:r w:rsidR="007E47BC">
        <w:t xml:space="preserve"> of how the reasons offered in support of the motion justify the length of the continuance that has been requested;</w:t>
      </w:r>
    </w:p>
    <w:p w14:paraId="00F8517F" w14:textId="205A8476" w:rsidR="007E47BC" w:rsidRDefault="007E47BC" w:rsidP="00ED7D4C">
      <w:pPr>
        <w:pStyle w:val="ListParagraph"/>
        <w:numPr>
          <w:ilvl w:val="1"/>
          <w:numId w:val="1"/>
        </w:numPr>
        <w:spacing w:after="0" w:line="360" w:lineRule="auto"/>
        <w:ind w:left="1440" w:hanging="720"/>
      </w:pPr>
      <w:r>
        <w:t xml:space="preserve">whether opposing counsel </w:t>
      </w:r>
      <w:r w:rsidR="00F20278">
        <w:t xml:space="preserve">agrees with or </w:t>
      </w:r>
      <w:r>
        <w:t>objects to the requested continuance;</w:t>
      </w:r>
      <w:r w:rsidR="00FE274B">
        <w:t xml:space="preserve"> and</w:t>
      </w:r>
    </w:p>
    <w:p w14:paraId="2FCBD5A5" w14:textId="0C04B2DC" w:rsidR="007E47BC" w:rsidRDefault="007E47BC" w:rsidP="00ED7D4C">
      <w:pPr>
        <w:pStyle w:val="ListParagraph"/>
        <w:numPr>
          <w:ilvl w:val="1"/>
          <w:numId w:val="1"/>
        </w:numPr>
        <w:spacing w:after="0" w:line="360" w:lineRule="auto"/>
        <w:ind w:left="1440" w:hanging="720"/>
        <w:contextualSpacing w:val="0"/>
      </w:pPr>
      <w:r>
        <w:t xml:space="preserve">the impact, if any, </w:t>
      </w:r>
      <w:r w:rsidR="00F20278">
        <w:t>of</w:t>
      </w:r>
      <w:r w:rsidR="00F20278">
        <w:t xml:space="preserve"> the </w:t>
      </w:r>
      <w:r w:rsidR="00F20278">
        <w:t xml:space="preserve">continuance </w:t>
      </w:r>
      <w:r>
        <w:t xml:space="preserve">on </w:t>
      </w:r>
      <w:r w:rsidR="00F20278">
        <w:t xml:space="preserve">other </w:t>
      </w:r>
      <w:r>
        <w:t>scheduled deadlines</w:t>
      </w:r>
      <w:r w:rsidR="00F20278">
        <w:t>.</w:t>
      </w:r>
      <w:r>
        <w:t xml:space="preserve"> </w:t>
      </w:r>
    </w:p>
    <w:p w14:paraId="2B4E6416" w14:textId="77777777" w:rsidR="002F1560" w:rsidRDefault="002F1560" w:rsidP="002F1560">
      <w:pPr>
        <w:pStyle w:val="ListParagraph"/>
        <w:spacing w:after="0" w:line="360" w:lineRule="auto"/>
        <w:ind w:left="1440"/>
        <w:contextualSpacing w:val="0"/>
      </w:pPr>
    </w:p>
    <w:p w14:paraId="76A71417" w14:textId="055227A6" w:rsidR="007E47BC" w:rsidRDefault="002B4934" w:rsidP="00ED7D4C">
      <w:pPr>
        <w:pStyle w:val="NormalWeb"/>
        <w:spacing w:before="0" w:beforeAutospacing="0" w:after="0" w:afterAutospacing="0" w:line="360" w:lineRule="auto"/>
        <w:ind w:left="720"/>
      </w:pPr>
      <w:r w:rsidRPr="002B4934">
        <w:t xml:space="preserve"> </w:t>
      </w:r>
      <w:r>
        <w:t>A</w:t>
      </w:r>
      <w:r>
        <w:t xml:space="preserve"> motion</w:t>
      </w:r>
      <w:r w:rsidR="007E47BC">
        <w:t xml:space="preserve"> </w:t>
      </w:r>
      <w:r w:rsidR="00846E8A">
        <w:t>must</w:t>
      </w:r>
      <w:r w:rsidR="00846E8A">
        <w:t xml:space="preserve"> </w:t>
      </w:r>
      <w:r w:rsidR="007E47BC">
        <w:t>be accompanied by a proposed order</w:t>
      </w:r>
      <w:r w:rsidR="007E47BC">
        <w:t>.</w:t>
      </w:r>
      <w:r w:rsidR="007E47BC">
        <w:t xml:space="preserve"> The proposed order, which </w:t>
      </w:r>
      <w:r w:rsidR="00846E8A">
        <w:t>must</w:t>
      </w:r>
      <w:r w:rsidR="00846E8A">
        <w:t xml:space="preserve"> </w:t>
      </w:r>
      <w:r w:rsidR="007E47BC">
        <w:t xml:space="preserve">not differ in any respect from the relief requested in the motion, </w:t>
      </w:r>
      <w:r w:rsidR="00846E8A">
        <w:t>must</w:t>
      </w:r>
      <w:r w:rsidR="00846E8A">
        <w:t xml:space="preserve"> </w:t>
      </w:r>
      <w:r w:rsidR="007E47BC">
        <w:t xml:space="preserve">state specifically the deadline(s) being extended and the </w:t>
      </w:r>
      <w:r w:rsidR="00F20278">
        <w:t xml:space="preserve">proposed </w:t>
      </w:r>
      <w:r w:rsidR="007E47BC">
        <w:t xml:space="preserve">date(s) for the </w:t>
      </w:r>
      <w:r w:rsidR="00F20278">
        <w:t xml:space="preserve">new </w:t>
      </w:r>
      <w:r w:rsidR="007E47BC">
        <w:t xml:space="preserve">deadline(s) and </w:t>
      </w:r>
      <w:r w:rsidR="00846E8A">
        <w:t>must</w:t>
      </w:r>
      <w:r w:rsidR="00846E8A">
        <w:t xml:space="preserve"> </w:t>
      </w:r>
      <w:r w:rsidR="007E47BC">
        <w:t>include the findings required under the Speedy Trial Act.</w:t>
      </w:r>
      <w:r w:rsidR="00F20278">
        <w:t xml:space="preserve"> A template of a motion and proposed order can be found on the court’s website.</w:t>
      </w:r>
      <w:bookmarkStart w:id="2" w:name="_GoBack"/>
      <w:bookmarkEnd w:id="2"/>
    </w:p>
    <w:p w14:paraId="3B9FB6C9" w14:textId="77777777" w:rsidR="00575770" w:rsidRDefault="00575770"/>
    <w:sectPr w:rsidR="0057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89B"/>
    <w:multiLevelType w:val="multilevel"/>
    <w:tmpl w:val="E5268080"/>
    <w:lvl w:ilvl="0">
      <w:start w:val="1"/>
      <w:numFmt w:val="none"/>
      <w:lvlText w:val="(h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FD2609"/>
    <w:multiLevelType w:val="multilevel"/>
    <w:tmpl w:val="331C1448"/>
    <w:lvl w:ilvl="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37574D82"/>
    <w:multiLevelType w:val="hybridMultilevel"/>
    <w:tmpl w:val="FD7ADFC0"/>
    <w:lvl w:ilvl="0" w:tplc="967A3B1E">
      <w:start w:val="1"/>
      <w:numFmt w:val="upperLetter"/>
      <w:pStyle w:val="RulesSubheaderA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C120EC3"/>
    <w:multiLevelType w:val="multilevel"/>
    <w:tmpl w:val="B2CE32C4"/>
    <w:styleLink w:val="Rules"/>
    <w:lvl w:ilvl="0">
      <w:start w:val="1"/>
      <w:numFmt w:val="lowerLetter"/>
      <w:lvlText w:val="(%1)."/>
      <w:lvlJc w:val="left"/>
      <w:pPr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(%2)."/>
      <w:lvlJc w:val="left"/>
      <w:pPr>
        <w:ind w:left="3600" w:hanging="720"/>
      </w:pPr>
      <w:rPr>
        <w:rFonts w:ascii="Times New Roman" w:hAnsi="Times New Roman" w:hint="default"/>
        <w:sz w:val="24"/>
      </w:rPr>
    </w:lvl>
    <w:lvl w:ilvl="2">
      <w:start w:val="1"/>
      <w:numFmt w:val="upperLetter"/>
      <w:lvlText w:val="(%3)."/>
      <w:lvlJc w:val="left"/>
      <w:pPr>
        <w:ind w:left="4320" w:hanging="72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%4."/>
      <w:lvlJc w:val="left"/>
      <w:pPr>
        <w:ind w:left="5040" w:hanging="72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(%6)."/>
      <w:lvlJc w:val="left"/>
      <w:pPr>
        <w:ind w:left="6480" w:hanging="720"/>
      </w:pPr>
      <w:rPr>
        <w:rFonts w:ascii="Times New Roman" w:hAnsi="Times New Roman" w:hint="default"/>
        <w:sz w:val="24"/>
      </w:rPr>
    </w:lvl>
    <w:lvl w:ilvl="6">
      <w:start w:val="1"/>
      <w:numFmt w:val="upperLetter"/>
      <w:lvlText w:val="(%7)."/>
      <w:lvlJc w:val="left"/>
      <w:pPr>
        <w:ind w:left="7200" w:hanging="720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%8."/>
      <w:lvlJc w:val="left"/>
      <w:pPr>
        <w:ind w:left="7920" w:hanging="720"/>
      </w:pPr>
      <w:rPr>
        <w:rFonts w:ascii="Times New Roman" w:hAnsi="Times New Roman" w:hint="default"/>
        <w:sz w:val="24"/>
      </w:rPr>
    </w:lvl>
    <w:lvl w:ilvl="8">
      <w:start w:val="1"/>
      <w:numFmt w:val="lowerLetter"/>
      <w:lvlText w:val="%9."/>
      <w:lvlJc w:val="left"/>
      <w:pPr>
        <w:ind w:left="8640" w:hanging="72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546148A0"/>
    <w:multiLevelType w:val="hybridMultilevel"/>
    <w:tmpl w:val="B8C2581E"/>
    <w:lvl w:ilvl="0" w:tplc="7E9A4BBA">
      <w:start w:val="1"/>
      <w:numFmt w:val="lowerLetter"/>
      <w:pStyle w:val="RulesBullet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57970"/>
    <w:multiLevelType w:val="hybridMultilevel"/>
    <w:tmpl w:val="FBC8E1D0"/>
    <w:lvl w:ilvl="0" w:tplc="7D9E847A">
      <w:start w:val="1"/>
      <w:numFmt w:val="decimal"/>
      <w:pStyle w:val="RulesSubheader1"/>
      <w:lvlText w:val="(%1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47BC"/>
    <w:rsid w:val="00052F25"/>
    <w:rsid w:val="00073379"/>
    <w:rsid w:val="00101C0C"/>
    <w:rsid w:val="00133A02"/>
    <w:rsid w:val="00185E60"/>
    <w:rsid w:val="00241C36"/>
    <w:rsid w:val="002B4934"/>
    <w:rsid w:val="002F1560"/>
    <w:rsid w:val="00312847"/>
    <w:rsid w:val="00342507"/>
    <w:rsid w:val="00345212"/>
    <w:rsid w:val="003A1B59"/>
    <w:rsid w:val="003A7538"/>
    <w:rsid w:val="004C3096"/>
    <w:rsid w:val="004D7D76"/>
    <w:rsid w:val="00575770"/>
    <w:rsid w:val="00581BB5"/>
    <w:rsid w:val="005A3832"/>
    <w:rsid w:val="006C381C"/>
    <w:rsid w:val="00730C66"/>
    <w:rsid w:val="00744C4D"/>
    <w:rsid w:val="007A4926"/>
    <w:rsid w:val="007E47BC"/>
    <w:rsid w:val="00826C46"/>
    <w:rsid w:val="00832471"/>
    <w:rsid w:val="00846E8A"/>
    <w:rsid w:val="0088433A"/>
    <w:rsid w:val="008E2024"/>
    <w:rsid w:val="009C6E6B"/>
    <w:rsid w:val="009D0BD5"/>
    <w:rsid w:val="00A325A0"/>
    <w:rsid w:val="00B1793D"/>
    <w:rsid w:val="00B3068E"/>
    <w:rsid w:val="00BA1DCD"/>
    <w:rsid w:val="00BC6ACC"/>
    <w:rsid w:val="00BE128E"/>
    <w:rsid w:val="00BF73BB"/>
    <w:rsid w:val="00C76D69"/>
    <w:rsid w:val="00CA6E4B"/>
    <w:rsid w:val="00CC19F1"/>
    <w:rsid w:val="00D1320A"/>
    <w:rsid w:val="00D55A0F"/>
    <w:rsid w:val="00DC7D30"/>
    <w:rsid w:val="00E565C9"/>
    <w:rsid w:val="00E65245"/>
    <w:rsid w:val="00E93F6F"/>
    <w:rsid w:val="00EB3811"/>
    <w:rsid w:val="00EC49E0"/>
    <w:rsid w:val="00ED7D4C"/>
    <w:rsid w:val="00F05D21"/>
    <w:rsid w:val="00F14B45"/>
    <w:rsid w:val="00F20278"/>
    <w:rsid w:val="00FC7122"/>
    <w:rsid w:val="00FC73E0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08D4"/>
  <w15:chartTrackingRefBased/>
  <w15:docId w15:val="{D344F3F3-749B-457C-B549-1313FDD1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934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34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4934"/>
    <w:pPr>
      <w:keepNext/>
      <w:keepLines/>
      <w:spacing w:before="100" w:beforeAutospacing="1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E128E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28E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28E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28E"/>
    <w:rPr>
      <w:rFonts w:ascii="Times New Roman" w:eastAsiaTheme="majorEastAsia" w:hAnsi="Times New Roman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28E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28E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BE128E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28E"/>
    <w:rPr>
      <w:rFonts w:ascii="Times New Roman" w:eastAsiaTheme="majorEastAsia" w:hAnsi="Times New Roman" w:cstheme="majorBidi"/>
      <w:i/>
      <w:iCs/>
      <w:sz w:val="24"/>
    </w:rPr>
  </w:style>
  <w:style w:type="character" w:styleId="Emphasis">
    <w:name w:val="Emphasis"/>
    <w:basedOn w:val="DefaultParagraphFont"/>
    <w:uiPriority w:val="1"/>
    <w:qFormat/>
    <w:rsid w:val="00BE128E"/>
    <w:rPr>
      <w:i/>
      <w:iCs/>
    </w:rPr>
  </w:style>
  <w:style w:type="paragraph" w:customStyle="1" w:styleId="BlockQuote">
    <w:name w:val="Block Quote"/>
    <w:basedOn w:val="Normal"/>
    <w:next w:val="Normal"/>
    <w:uiPriority w:val="1"/>
    <w:qFormat/>
    <w:rsid w:val="00E65245"/>
    <w:pPr>
      <w:ind w:left="720" w:right="720"/>
    </w:pPr>
  </w:style>
  <w:style w:type="paragraph" w:styleId="NormalWeb">
    <w:name w:val="Normal (Web)"/>
    <w:basedOn w:val="Normal"/>
    <w:uiPriority w:val="99"/>
    <w:unhideWhenUsed/>
    <w:rsid w:val="007E47BC"/>
    <w:pPr>
      <w:spacing w:before="100" w:beforeAutospacing="1" w:after="100" w:afterAutospacing="1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E47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934"/>
    <w:pPr>
      <w:ind w:left="720"/>
      <w:contextualSpacing/>
    </w:pPr>
  </w:style>
  <w:style w:type="paragraph" w:customStyle="1" w:styleId="RulesBullet">
    <w:name w:val="Rules Bullet"/>
    <w:basedOn w:val="Heading2"/>
    <w:next w:val="RulesBody"/>
    <w:qFormat/>
    <w:rsid w:val="002B4934"/>
    <w:pPr>
      <w:numPr>
        <w:numId w:val="2"/>
      </w:numPr>
      <w:spacing w:before="0" w:beforeAutospacing="0" w:after="0" w:line="360" w:lineRule="auto"/>
      <w:jc w:val="left"/>
    </w:pPr>
    <w:rPr>
      <w:b w:val="0"/>
      <w:kern w:val="0"/>
      <w:u w:val="single"/>
      <w14:ligatures w14:val="none"/>
    </w:rPr>
  </w:style>
  <w:style w:type="paragraph" w:customStyle="1" w:styleId="RulesNoBullet">
    <w:name w:val="Rules No Bullet"/>
    <w:basedOn w:val="RulesBullet"/>
    <w:qFormat/>
    <w:rsid w:val="002B4934"/>
    <w:pPr>
      <w:numPr>
        <w:numId w:val="0"/>
      </w:numPr>
      <w:ind w:firstLine="720"/>
    </w:pPr>
    <w:rPr>
      <w:b/>
      <w:u w:val="none"/>
    </w:rPr>
  </w:style>
  <w:style w:type="paragraph" w:customStyle="1" w:styleId="RulesHeader">
    <w:name w:val="Rules Header"/>
    <w:basedOn w:val="Heading1"/>
    <w:qFormat/>
    <w:rsid w:val="002B4934"/>
    <w:pPr>
      <w:keepLines w:val="0"/>
      <w:tabs>
        <w:tab w:val="left" w:pos="2160"/>
      </w:tabs>
      <w:spacing w:after="0" w:line="360" w:lineRule="auto"/>
      <w:ind w:left="2160" w:hanging="2160"/>
      <w:jc w:val="left"/>
    </w:pPr>
    <w:rPr>
      <w:bCs/>
      <w:kern w:val="32"/>
      <w14:ligatures w14:val="none"/>
    </w:rPr>
  </w:style>
  <w:style w:type="paragraph" w:customStyle="1" w:styleId="RulesSubheader">
    <w:name w:val="Rules Subheader"/>
    <w:basedOn w:val="Heading2"/>
    <w:next w:val="Normal"/>
    <w:qFormat/>
    <w:rsid w:val="002B4934"/>
    <w:pPr>
      <w:tabs>
        <w:tab w:val="left" w:pos="1440"/>
      </w:tabs>
      <w:spacing w:before="40" w:beforeAutospacing="0" w:after="0" w:line="360" w:lineRule="auto"/>
      <w:ind w:left="720" w:hanging="720"/>
      <w:jc w:val="left"/>
    </w:pPr>
    <w:rPr>
      <w:kern w:val="0"/>
      <w14:ligatures w14:val="none"/>
    </w:rPr>
  </w:style>
  <w:style w:type="paragraph" w:customStyle="1" w:styleId="RulesBody">
    <w:name w:val="Rules Body"/>
    <w:basedOn w:val="Normal"/>
    <w:qFormat/>
    <w:rsid w:val="002B4934"/>
    <w:pPr>
      <w:spacing w:after="0" w:line="360" w:lineRule="auto"/>
      <w:ind w:left="720"/>
    </w:pPr>
    <w:rPr>
      <w:kern w:val="0"/>
      <w14:ligatures w14:val="none"/>
    </w:rPr>
  </w:style>
  <w:style w:type="paragraph" w:customStyle="1" w:styleId="Style1">
    <w:name w:val="Style1"/>
    <w:basedOn w:val="RulesBody"/>
    <w:qFormat/>
    <w:rsid w:val="002B4934"/>
    <w:pPr>
      <w:ind w:left="2880"/>
    </w:pPr>
  </w:style>
  <w:style w:type="paragraph" w:customStyle="1" w:styleId="Style2">
    <w:name w:val="Style2"/>
    <w:basedOn w:val="Heading2"/>
    <w:qFormat/>
    <w:rsid w:val="002B4934"/>
    <w:pPr>
      <w:spacing w:before="0" w:beforeAutospacing="0" w:after="0" w:line="360" w:lineRule="auto"/>
      <w:jc w:val="left"/>
    </w:pPr>
    <w:rPr>
      <w:kern w:val="0"/>
      <w14:ligatures w14:val="none"/>
    </w:rPr>
  </w:style>
  <w:style w:type="paragraph" w:customStyle="1" w:styleId="RulesSubheader1">
    <w:name w:val="Rules Subheader (1)"/>
    <w:basedOn w:val="Heading2"/>
    <w:qFormat/>
    <w:rsid w:val="002B4934"/>
    <w:pPr>
      <w:numPr>
        <w:numId w:val="3"/>
      </w:numPr>
      <w:spacing w:before="0" w:beforeAutospacing="0" w:after="0" w:line="360" w:lineRule="auto"/>
      <w:jc w:val="left"/>
    </w:pPr>
    <w:rPr>
      <w:kern w:val="0"/>
      <w14:ligatures w14:val="none"/>
    </w:rPr>
  </w:style>
  <w:style w:type="paragraph" w:customStyle="1" w:styleId="RulesSubheaderA">
    <w:name w:val="Rules Subheader (A)"/>
    <w:basedOn w:val="RulesBody"/>
    <w:qFormat/>
    <w:rsid w:val="002B4934"/>
    <w:pPr>
      <w:numPr>
        <w:numId w:val="4"/>
      </w:numPr>
    </w:pPr>
  </w:style>
  <w:style w:type="numbering" w:customStyle="1" w:styleId="Rules">
    <w:name w:val="Rules"/>
    <w:uiPriority w:val="99"/>
    <w:rsid w:val="002B493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CB41-43AE-41BE-8E48-073262D7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E76CCC1C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Copeland</dc:creator>
  <cp:keywords/>
  <dc:description/>
  <cp:lastModifiedBy>Jeff Taylor</cp:lastModifiedBy>
  <cp:revision>3</cp:revision>
  <dcterms:created xsi:type="dcterms:W3CDTF">2018-10-19T17:39:00Z</dcterms:created>
  <dcterms:modified xsi:type="dcterms:W3CDTF">2018-10-19T17:40:00Z</dcterms:modified>
</cp:coreProperties>
</file>