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95" w:rsidRDefault="00461C95" w:rsidP="00E931A6">
      <w:pPr>
        <w:jc w:val="center"/>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ab/>
        <w:t>IN THE UNITED STATES COURT FOR THE DISTRICT OF UTAH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461C95" w:rsidTr="00E60DBF">
        <w:trPr>
          <w:trHeight w:val="552"/>
        </w:trPr>
        <w:tc>
          <w:tcPr>
            <w:tcW w:w="9360" w:type="dxa"/>
            <w:gridSpan w:val="2"/>
            <w:tcBorders>
              <w:top w:val="nil"/>
              <w:left w:val="nil"/>
              <w:bottom w:val="single" w:sz="4" w:space="0" w:color="auto"/>
              <w:right w:val="nil"/>
            </w:tcBorders>
            <w:shd w:val="clear" w:color="auto" w:fill="auto"/>
          </w:tcPr>
          <w:p w:rsidR="00E52523" w:rsidRPr="00E60DBF" w:rsidRDefault="00E52523" w:rsidP="00E60DBF">
            <w:pPr>
              <w:pStyle w:val="TableContents"/>
              <w:jc w:val="center"/>
              <w:rPr>
                <w:rFonts w:ascii="Times New Roman" w:eastAsia="Times New Roman" w:hAnsi="Times New Roman" w:cs="Times New Roman"/>
                <w:color w:val="000000"/>
              </w:rPr>
            </w:pPr>
          </w:p>
          <w:p w:rsidR="00461C95" w:rsidRPr="00E60DBF" w:rsidRDefault="00461C95" w:rsidP="00E60DBF">
            <w:pPr>
              <w:pStyle w:val="TableContents"/>
              <w:jc w:val="center"/>
              <w:rPr>
                <w:rFonts w:ascii="Times New Roman" w:eastAsia="Times New Roman" w:hAnsi="Times New Roman" w:cs="Times New Roman"/>
                <w:color w:val="000000"/>
              </w:rPr>
            </w:pPr>
            <w:r w:rsidRPr="00E60DBF">
              <w:rPr>
                <w:rFonts w:ascii="Times New Roman" w:eastAsia="Times New Roman" w:hAnsi="Times New Roman" w:cs="Times New Roman"/>
                <w:color w:val="000000"/>
              </w:rPr>
              <w:t>CENTRAL DIVISION</w:t>
            </w:r>
          </w:p>
          <w:p w:rsidR="00E52523" w:rsidRPr="00E60DBF" w:rsidRDefault="00E52523" w:rsidP="00E60DBF">
            <w:pPr>
              <w:pStyle w:val="TableContents"/>
              <w:jc w:val="center"/>
              <w:rPr>
                <w:rFonts w:ascii="Times New Roman" w:eastAsia="Times New Roman" w:hAnsi="Times New Roman" w:cs="Times New Roman"/>
                <w:color w:val="000000"/>
              </w:rPr>
            </w:pPr>
          </w:p>
          <w:p w:rsidR="00E52523" w:rsidRDefault="00E52523" w:rsidP="00E52523">
            <w:pPr>
              <w:pStyle w:val="TableContents"/>
            </w:pPr>
          </w:p>
        </w:tc>
      </w:tr>
      <w:tr w:rsidR="00CF4977" w:rsidTr="00E60DBF">
        <w:trPr>
          <w:trHeight w:val="2564"/>
        </w:trPr>
        <w:tc>
          <w:tcPr>
            <w:tcW w:w="4680" w:type="dxa"/>
            <w:tcBorders>
              <w:left w:val="nil"/>
            </w:tcBorders>
            <w:shd w:val="clear" w:color="auto" w:fill="auto"/>
          </w:tcPr>
          <w:p w:rsidR="00CF4977" w:rsidRPr="00E60DBF" w:rsidRDefault="00CF4977" w:rsidP="00E60DBF">
            <w:pPr>
              <w:pStyle w:val="TableContents"/>
              <w:jc w:val="center"/>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rsidR="00CF4977" w:rsidRPr="00E60DBF" w:rsidRDefault="00CF4977">
            <w:pPr>
              <w:pStyle w:val="TableContents"/>
              <w:rPr>
                <w:rFonts w:ascii="Times New Roman" w:eastAsia="Times New Roman" w:hAnsi="Times New Roman" w:cs="Times New Roman"/>
                <w:color w:val="000000"/>
              </w:rPr>
            </w:pPr>
          </w:p>
          <w:p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UNITED STATES OF AMERICA,</w:t>
            </w:r>
          </w:p>
          <w:p w:rsidR="00CF4977" w:rsidRPr="00E60DBF" w:rsidRDefault="00CF4977" w:rsidP="00E60DBF">
            <w:pPr>
              <w:pStyle w:val="TableContents"/>
              <w:rPr>
                <w:rFonts w:ascii="Times New Roman" w:eastAsia="Times New Roman" w:hAnsi="Times New Roman" w:cs="Times New Roman"/>
                <w:color w:val="000000"/>
              </w:rPr>
            </w:pPr>
          </w:p>
          <w:p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Plaintiff,</w:t>
            </w:r>
          </w:p>
          <w:p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vs.</w:t>
            </w:r>
          </w:p>
          <w:p w:rsidR="00CF4977" w:rsidRPr="00E60DBF" w:rsidRDefault="00CF4977">
            <w:pPr>
              <w:pStyle w:val="TableContents"/>
              <w:rPr>
                <w:rFonts w:ascii="Times New Roman" w:eastAsia="Times New Roman" w:hAnsi="Times New Roman" w:cs="Times New Roman"/>
                <w:color w:val="000000"/>
              </w:rPr>
            </w:pPr>
          </w:p>
          <w:p w:rsidR="00E52523" w:rsidRPr="00E60DBF" w:rsidRDefault="00E52523" w:rsidP="00E60DBF">
            <w:pPr>
              <w:pStyle w:val="TableContents"/>
              <w:rPr>
                <w:rFonts w:ascii="Times New Roman" w:eastAsia="Times New Roman" w:hAnsi="Times New Roman" w:cs="Times New Roman"/>
                <w:color w:val="000000"/>
              </w:rPr>
            </w:pPr>
          </w:p>
          <w:p w:rsidR="00E52523" w:rsidRPr="00E60DBF" w:rsidRDefault="00E52523" w:rsidP="00E60DBF">
            <w:pPr>
              <w:pStyle w:val="TableContents"/>
              <w:rPr>
                <w:rFonts w:ascii="Times New Roman" w:eastAsia="Times New Roman" w:hAnsi="Times New Roman" w:cs="Times New Roman"/>
                <w:color w:val="000000"/>
              </w:rPr>
            </w:pPr>
          </w:p>
          <w:p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[DEFENDANT],</w:t>
            </w:r>
          </w:p>
          <w:p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Defendant.</w:t>
            </w:r>
          </w:p>
          <w:p w:rsidR="00CF4977" w:rsidRPr="00E60DBF" w:rsidRDefault="00CF4977" w:rsidP="00E60DBF">
            <w:pPr>
              <w:pStyle w:val="TableContents"/>
              <w:rPr>
                <w:rFonts w:ascii="Times New Roman" w:eastAsia="Times New Roman" w:hAnsi="Times New Roman" w:cs="Times New Roman"/>
                <w:color w:val="000000"/>
              </w:rPr>
            </w:pPr>
          </w:p>
          <w:p w:rsidR="00CF4977" w:rsidRPr="00E60DBF" w:rsidRDefault="00CF4977" w:rsidP="00E60DBF">
            <w:pPr>
              <w:pStyle w:val="TableContents"/>
              <w:rPr>
                <w:rFonts w:ascii="Times New Roman" w:eastAsia="Times New Roman" w:hAnsi="Times New Roman" w:cs="Times New Roman"/>
                <w:color w:val="000000"/>
              </w:rPr>
            </w:pPr>
          </w:p>
        </w:tc>
        <w:tc>
          <w:tcPr>
            <w:tcW w:w="4680" w:type="dxa"/>
            <w:tcBorders>
              <w:right w:val="nil"/>
            </w:tcBorders>
            <w:shd w:val="clear" w:color="auto" w:fill="auto"/>
          </w:tcPr>
          <w:p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rsidR="00CF4977" w:rsidRPr="00E60DBF" w:rsidRDefault="00CF4977" w:rsidP="00E60DBF">
            <w:pPr>
              <w:pStyle w:val="TableContents"/>
              <w:rPr>
                <w:rFonts w:ascii="Times New Roman" w:eastAsia="Times New Roman" w:hAnsi="Times New Roman" w:cs="Times New Roman"/>
                <w:color w:val="000000"/>
              </w:rPr>
            </w:pPr>
          </w:p>
          <w:p w:rsidR="00E52523" w:rsidRPr="00E60DBF" w:rsidRDefault="00CF4977"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rsidR="00E52523" w:rsidRPr="00E60DBF" w:rsidRDefault="00E52523"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rsidR="00CF4977" w:rsidRPr="00E60DBF" w:rsidRDefault="00E52523"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r w:rsidR="00CF4977" w:rsidRPr="00E60DBF">
              <w:rPr>
                <w:rFonts w:ascii="Times New Roman" w:eastAsia="Times New Roman" w:hAnsi="Times New Roman" w:cs="Times New Roman"/>
                <w:color w:val="000000"/>
              </w:rPr>
              <w:t>TRIAL ORDER</w:t>
            </w:r>
          </w:p>
          <w:p w:rsidR="00CF4977" w:rsidRPr="00E60DBF" w:rsidRDefault="00CF4977" w:rsidP="00CF4977">
            <w:pPr>
              <w:pStyle w:val="TableContents"/>
              <w:rPr>
                <w:rFonts w:ascii="Times New Roman" w:eastAsia="Times New Roman" w:hAnsi="Times New Roman" w:cs="Times New Roman"/>
                <w:color w:val="000000"/>
              </w:rPr>
            </w:pPr>
          </w:p>
          <w:p w:rsidR="00CF4977" w:rsidRPr="00E60DBF" w:rsidRDefault="00CF4977" w:rsidP="00CF4977">
            <w:pPr>
              <w:pStyle w:val="TableContents"/>
              <w:rPr>
                <w:rFonts w:ascii="Times New Roman" w:eastAsia="Times New Roman" w:hAnsi="Times New Roman" w:cs="Times New Roman"/>
                <w:color w:val="000000"/>
              </w:rPr>
            </w:pPr>
          </w:p>
          <w:p w:rsidR="00CF4977" w:rsidRPr="00E60DBF" w:rsidRDefault="00CF4977" w:rsidP="00CF4977">
            <w:pPr>
              <w:pStyle w:val="TableContents"/>
              <w:rPr>
                <w:rFonts w:ascii="Times New Roman" w:eastAsia="Times New Roman" w:hAnsi="Times New Roman" w:cs="Times New Roman"/>
                <w:color w:val="000000"/>
              </w:rPr>
            </w:pPr>
          </w:p>
          <w:p w:rsidR="00CF4977" w:rsidRPr="00E60DBF" w:rsidRDefault="00CF4977" w:rsidP="00CF4977">
            <w:pPr>
              <w:pStyle w:val="TableContents"/>
              <w:rPr>
                <w:rFonts w:ascii="Times New Roman" w:eastAsia="Times New Roman" w:hAnsi="Times New Roman" w:cs="Times New Roman"/>
                <w:color w:val="000000"/>
              </w:rPr>
            </w:pPr>
          </w:p>
          <w:p w:rsidR="00E52523" w:rsidRPr="00E60DBF" w:rsidRDefault="00CF4977"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rsidR="00CF4977" w:rsidRPr="00E60DBF" w:rsidRDefault="00E52523"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r w:rsidR="007875C3">
              <w:rPr>
                <w:rFonts w:ascii="Times New Roman" w:eastAsia="Times New Roman" w:hAnsi="Times New Roman" w:cs="Times New Roman"/>
                <w:color w:val="000000"/>
              </w:rPr>
              <w:t>Case No. 2:16-cr-00305 RJS</w:t>
            </w:r>
          </w:p>
          <w:p w:rsidR="00CF4977" w:rsidRPr="00E60DBF" w:rsidRDefault="00CF4977" w:rsidP="00CF4977">
            <w:pPr>
              <w:pStyle w:val="TableContents"/>
              <w:rPr>
                <w:rFonts w:ascii="Times New Roman" w:eastAsia="Times New Roman" w:hAnsi="Times New Roman" w:cs="Times New Roman"/>
                <w:color w:val="000000"/>
              </w:rPr>
            </w:pPr>
          </w:p>
          <w:p w:rsidR="00CF4977" w:rsidRPr="00E60DBF" w:rsidRDefault="00CF4977" w:rsidP="00CF4977">
            <w:pPr>
              <w:pStyle w:val="TableContents"/>
              <w:rPr>
                <w:rFonts w:ascii="Times New Roman" w:eastAsia="Times New Roman" w:hAnsi="Times New Roman" w:cs="Times New Roman"/>
                <w:color w:val="000000"/>
              </w:rPr>
            </w:pPr>
          </w:p>
          <w:p w:rsidR="00CF4977" w:rsidRPr="00E60DBF" w:rsidRDefault="00CF4977"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tc>
      </w:tr>
    </w:tbl>
    <w:p w:rsidR="00461C95" w:rsidRDefault="00461C95">
      <w:pPr>
        <w:spacing w:line="480" w:lineRule="auto"/>
        <w:rPr>
          <w:rFonts w:ascii="Times New Roman" w:eastAsia="Times New Roman" w:hAnsi="Times New Roman" w:cs="Times New Roman"/>
          <w:color w:val="000000"/>
        </w:rPr>
      </w:pPr>
    </w:p>
    <w:p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The final pretrial conference in this matter is scheduled for </w:t>
      </w:r>
      <w:r>
        <w:rPr>
          <w:rFonts w:ascii="Times New Roman" w:eastAsia="Times New Roman" w:hAnsi="Times New Roman" w:cs="Times New Roman"/>
          <w:b/>
          <w:bCs/>
          <w:color w:val="000000"/>
        </w:rPr>
        <w:t>[DATE]</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at</w:t>
      </w:r>
    </w:p>
    <w:p w:rsidR="00461C95" w:rsidRDefault="00461C95">
      <w:pPr>
        <w:spacing w:line="480" w:lineRule="auto"/>
        <w:rPr>
          <w:rFonts w:ascii="Times New Roman" w:eastAsia="Times New Roman" w:hAnsi="Times New Roman" w:cs="Times New Roman"/>
          <w:color w:val="000000"/>
        </w:rPr>
      </w:pPr>
      <w:proofErr w:type="gramStart"/>
      <w:r>
        <w:rPr>
          <w:rFonts w:ascii="Times New Roman" w:eastAsia="Times New Roman" w:hAnsi="Times New Roman" w:cs="Times New Roman"/>
          <w:b/>
          <w:bCs/>
          <w:color w:val="000000"/>
        </w:rPr>
        <w:t>[TIME]</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This case is set for a [###]-day jury trial to begin on </w:t>
      </w:r>
      <w:r>
        <w:rPr>
          <w:rFonts w:ascii="Times New Roman" w:eastAsia="Times New Roman" w:hAnsi="Times New Roman" w:cs="Times New Roman"/>
          <w:b/>
          <w:bCs/>
          <w:color w:val="000000"/>
        </w:rPr>
        <w:t>[DATE] at</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[TIME]</w:t>
      </w:r>
      <w:r>
        <w:rPr>
          <w:rFonts w:ascii="Times New Roman" w:eastAsia="Times New Roman" w:hAnsi="Times New Roman" w:cs="Times New Roman"/>
          <w:color w:val="000000"/>
        </w:rPr>
        <w:t xml:space="preserve">.  The trial attorneys are to appear at </w:t>
      </w:r>
      <w:r>
        <w:rPr>
          <w:rFonts w:ascii="Times New Roman" w:eastAsia="Times New Roman" w:hAnsi="Times New Roman" w:cs="Times New Roman"/>
          <w:b/>
          <w:bCs/>
          <w:color w:val="000000"/>
        </w:rPr>
        <w:t>[TIME]</w:t>
      </w:r>
      <w:r>
        <w:rPr>
          <w:rFonts w:ascii="Times New Roman" w:eastAsia="Times New Roman" w:hAnsi="Times New Roman" w:cs="Times New Roman"/>
          <w:color w:val="000000"/>
        </w:rPr>
        <w:t xml:space="preserve"> on the first day of trial for a brief pre-trial meeting.</w:t>
      </w:r>
    </w:p>
    <w:p w:rsidR="00461C95" w:rsidRDefault="00461C95">
      <w:pPr>
        <w:spacing w:line="480" w:lineRule="auto"/>
        <w:ind w:firstLine="720"/>
        <w:rPr>
          <w:rFonts w:ascii="Times New Roman" w:eastAsia="Times New Roman" w:hAnsi="Times New Roman" w:cs="Times New Roman"/>
          <w:b/>
          <w:bCs/>
          <w:color w:val="000000"/>
        </w:rPr>
      </w:pPr>
      <w:proofErr w:type="gramStart"/>
      <w:r>
        <w:rPr>
          <w:rFonts w:ascii="Times New Roman" w:eastAsia="Times New Roman" w:hAnsi="Times New Roman" w:cs="Times New Roman"/>
          <w:color w:val="000000"/>
        </w:rPr>
        <w:t>Counsel are</w:t>
      </w:r>
      <w:proofErr w:type="gramEnd"/>
      <w:r>
        <w:rPr>
          <w:rFonts w:ascii="Times New Roman" w:eastAsia="Times New Roman" w:hAnsi="Times New Roman" w:cs="Times New Roman"/>
          <w:color w:val="000000"/>
        </w:rPr>
        <w:t xml:space="preserve"> instructed as follows:</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1.  Effect of Schedule Modifications.</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court-imposed deadlines in this Order are calculated from the scheduled date of the final pretrial conference and the scheduled date of the trial.  In the event that the trial or final pretrial conference dates change, the court-imposed deadlines set forth in this Order are automatically moved to correspond to the new final pretrial conference date and new trial date.  The parties should calculate the new court-imposed deadlines based on these new dates.  No new Trial Order will issue.</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lastRenderedPageBreak/>
        <w:t>2.  Court-Imposed Deadlines.</w:t>
      </w:r>
    </w:p>
    <w:p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The deadlines described in this Order cannot be modified or waived in any way by a stipulation of the parties.  Any party that believes an extension of time or continuance is necessary </w:t>
      </w:r>
      <w:r>
        <w:rPr>
          <w:rFonts w:ascii="Times New Roman" w:eastAsia="Times New Roman" w:hAnsi="Times New Roman" w:cs="Times New Roman"/>
          <w:b/>
          <w:bCs/>
          <w:color w:val="000000"/>
        </w:rPr>
        <w:t>must</w:t>
      </w:r>
      <w:r>
        <w:rPr>
          <w:rFonts w:ascii="Times New Roman" w:eastAsia="Times New Roman" w:hAnsi="Times New Roman" w:cs="Times New Roman"/>
          <w:color w:val="000000"/>
        </w:rPr>
        <w:t xml:space="preserve"> timely file an appropriate motion.</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3</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Pretrial Motions That May Affect the Trial Date.</w:t>
      </w:r>
      <w:r>
        <w:rPr>
          <w:rFonts w:ascii="Times New Roman" w:eastAsia="Times New Roman" w:hAnsi="Times New Roman" w:cs="Times New Roman"/>
          <w:color w:val="000000"/>
        </w:rPr>
        <w:t xml:space="preserve"> </w:t>
      </w:r>
    </w:p>
    <w:p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Any motions that may affect the trial date must be filed at least </w:t>
      </w:r>
      <w:r>
        <w:rPr>
          <w:rFonts w:ascii="Times New Roman" w:eastAsia="Times New Roman" w:hAnsi="Times New Roman" w:cs="Times New Roman"/>
          <w:b/>
          <w:bCs/>
          <w:color w:val="000000"/>
        </w:rPr>
        <w:t>21 days before trial</w:t>
      </w:r>
      <w:r>
        <w:rPr>
          <w:rFonts w:ascii="Times New Roman" w:eastAsia="Times New Roman" w:hAnsi="Times New Roman" w:cs="Times New Roman"/>
          <w:color w:val="000000"/>
        </w:rPr>
        <w:t xml:space="preserve">.  This requirement applies to Speedy Trial Act challenges, competency issues, </w:t>
      </w:r>
      <w:proofErr w:type="gramStart"/>
      <w:r>
        <w:rPr>
          <w:rFonts w:ascii="Times New Roman" w:eastAsia="Times New Roman" w:hAnsi="Times New Roman" w:cs="Times New Roman"/>
          <w:color w:val="000000"/>
        </w:rPr>
        <w:t>calendar</w:t>
      </w:r>
      <w:proofErr w:type="gramEnd"/>
      <w:r>
        <w:rPr>
          <w:rFonts w:ascii="Times New Roman" w:eastAsia="Times New Roman" w:hAnsi="Times New Roman" w:cs="Times New Roman"/>
          <w:color w:val="000000"/>
        </w:rPr>
        <w:t xml:space="preserve"> conflicts for counsel or witnesses, motions to withdraw or for appointment of new counsel, and any other issues that may require the court to move the trial date.  The court staff expends significant time and resources preparing for trials, including sending jury notices to prospective jurors, and time in chambers preparing for trial.  Because criminal cases take priority on the court’s calendar, conflicting civil trial settings are often moved by the court in anticipation of criminal trials that are going forward.  For these and other reasons, the court will relieve parties of the 21 day filing requirement only upon a strong showing of exceptional and unanticipated circumstances. Mindful of the constitutional protections defendants enjoy, the court may grant relief to defendants even if motions are filed after the court’s 21 day deadline.  But counsel are advised that attorneys filing late motions that result in continuing trials will be subject to monetary and/or other sanctions, as deemed appropriate in light of the specific circumstances presented. </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4.  Pretrial Submissions.</w:t>
      </w:r>
    </w:p>
    <w:p w:rsidR="00461C95" w:rsidRDefault="00461C95" w:rsidP="0068019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must be submitted to the court no later than</w:t>
      </w:r>
      <w:r>
        <w:rPr>
          <w:rFonts w:ascii="Times New Roman" w:eastAsia="Times New Roman" w:hAnsi="Times New Roman" w:cs="Times New Roman"/>
          <w:b/>
          <w:bCs/>
          <w:color w:val="000000"/>
        </w:rPr>
        <w:t xml:space="preserve"> two (2) business days before the final pretrial conference</w:t>
      </w:r>
      <w:r>
        <w:rPr>
          <w:rFonts w:ascii="Times New Roman" w:eastAsia="Times New Roman" w:hAnsi="Times New Roman" w:cs="Times New Roman"/>
          <w:color w:val="000000"/>
        </w:rPr>
        <w:t>:</w:t>
      </w:r>
    </w:p>
    <w:p w:rsidR="00461C95" w:rsidRDefault="00461C95">
      <w:pPr>
        <w:jc w:val="center"/>
        <w:rPr>
          <w:rFonts w:ascii="Times New Roman" w:eastAsia="Times New Roman" w:hAnsi="Times New Roman" w:cs="Times New Roman"/>
          <w:color w:val="000000"/>
        </w:rPr>
        <w:sectPr w:rsidR="00461C95" w:rsidSect="00680196">
          <w:pgSz w:w="12240" w:h="15840"/>
          <w:pgMar w:top="2160" w:right="1440" w:bottom="1627" w:left="1440" w:header="720" w:footer="720" w:gutter="0"/>
          <w:cols w:space="720"/>
          <w:docGrid w:linePitch="326"/>
        </w:sectPr>
      </w:pPr>
      <w:r>
        <w:rPr>
          <w:rFonts w:ascii="Times New Roman" w:eastAsia="Times New Roman" w:hAnsi="Times New Roman" w:cs="Times New Roman"/>
          <w:color w:val="000000"/>
        </w:rPr>
        <w:t>2</w:t>
      </w:r>
    </w:p>
    <w:p w:rsidR="00461C95" w:rsidRDefault="00461C95">
      <w:pPr>
        <w:pageBreakBefore/>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w:t>
      </w:r>
      <w:r>
        <w:rPr>
          <w:rFonts w:ascii="Times New Roman" w:eastAsia="Times New Roman" w:hAnsi="Times New Roman" w:cs="Times New Roman"/>
          <w:color w:val="000000"/>
        </w:rPr>
        <w:tab/>
        <w:t>Proposed Jury Instructions, both Preliminary and General, and any objections</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Proposed Verdict Form</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 xml:space="preserve">Proposed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Questions</w:t>
      </w:r>
    </w:p>
    <w:p w:rsidR="00461C95" w:rsidRDefault="00461C95" w:rsidP="00680196">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Objections to the authenticity of any exhibits and any additional objections to exhibits that will be used in opening statements</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e.</w:t>
      </w:r>
      <w:r>
        <w:rPr>
          <w:rFonts w:ascii="Times New Roman" w:eastAsia="Times New Roman" w:hAnsi="Times New Roman" w:cs="Times New Roman"/>
          <w:color w:val="000000"/>
        </w:rPr>
        <w:tab/>
        <w:t xml:space="preserve">All briefing for motions in </w:t>
      </w:r>
      <w:proofErr w:type="spellStart"/>
      <w:r>
        <w:rPr>
          <w:rFonts w:ascii="Times New Roman" w:eastAsia="Times New Roman" w:hAnsi="Times New Roman" w:cs="Times New Roman"/>
          <w:color w:val="000000"/>
        </w:rPr>
        <w:t>limine</w:t>
      </w:r>
      <w:proofErr w:type="spellEnd"/>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court will discuss these requirements more fully below.</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proposed jury instructions, proposed verdict form, and proposed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questions</w:t>
      </w:r>
    </w:p>
    <w:p w:rsidR="00461C95" w:rsidRDefault="00461C95">
      <w:pPr>
        <w:spacing w:line="480" w:lineRule="auto"/>
        <w:rPr>
          <w:rFonts w:ascii="Times New Roman" w:eastAsia="Times New Roman" w:hAnsi="Times New Roman" w:cs="Times New Roman"/>
          <w:b/>
          <w:bCs/>
          <w:color w:val="000000"/>
        </w:rPr>
      </w:pPr>
      <w:proofErr w:type="gramStart"/>
      <w:r>
        <w:rPr>
          <w:rFonts w:ascii="Times New Roman" w:eastAsia="Times New Roman" w:hAnsi="Times New Roman" w:cs="Times New Roman"/>
          <w:color w:val="000000"/>
        </w:rPr>
        <w:t>must</w:t>
      </w:r>
      <w:proofErr w:type="gramEnd"/>
      <w:r>
        <w:rPr>
          <w:rFonts w:ascii="Times New Roman" w:eastAsia="Times New Roman" w:hAnsi="Times New Roman" w:cs="Times New Roman"/>
          <w:color w:val="000000"/>
        </w:rPr>
        <w:t xml:space="preserve"> be emailed to chambers as a Word document.  Objections to exhibits and briefing for motions in </w:t>
      </w:r>
      <w:proofErr w:type="spellStart"/>
      <w:r>
        <w:rPr>
          <w:rFonts w:ascii="Times New Roman" w:eastAsia="Times New Roman" w:hAnsi="Times New Roman" w:cs="Times New Roman"/>
          <w:color w:val="000000"/>
        </w:rPr>
        <w:t>limine</w:t>
      </w:r>
      <w:proofErr w:type="spellEnd"/>
      <w:r>
        <w:rPr>
          <w:rFonts w:ascii="Times New Roman" w:eastAsia="Times New Roman" w:hAnsi="Times New Roman" w:cs="Times New Roman"/>
          <w:color w:val="000000"/>
        </w:rPr>
        <w:t xml:space="preserve"> should be docketed as usual.  Chambers email is utdecf_shelby@utd.uscourts.gov.  Include the case number in the email subject line.  </w:t>
      </w:r>
      <w:r>
        <w:rPr>
          <w:rFonts w:ascii="Times New Roman" w:eastAsia="Times New Roman" w:hAnsi="Times New Roman" w:cs="Times New Roman"/>
          <w:color w:val="000000"/>
        </w:rPr>
        <w:tab/>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5.  Jury Instructions.</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court has adopted its own standard general jury instructions, copies of which may be obtained from the court’s website prior to trial.  Counsel should note that the court’s standard jury instructions include one set of preliminary jury instructions and one set of general jury instructions.  The preliminary instructions will be read to the jury at the start of the trial.  The procedure for submitting proposed jury instructions is as follows:</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The parties must serve their proposed jury instructions on each other at least</w:t>
      </w:r>
      <w:r>
        <w:rPr>
          <w:rFonts w:ascii="Times New Roman" w:eastAsia="Times New Roman" w:hAnsi="Times New Roman" w:cs="Times New Roman"/>
          <w:b/>
          <w:bCs/>
          <w:color w:val="000000"/>
        </w:rPr>
        <w:t xml:space="preserve"> seven (7) days before the final pretrial conference</w:t>
      </w:r>
      <w:r>
        <w:rPr>
          <w:rFonts w:ascii="Times New Roman" w:eastAsia="Times New Roman" w:hAnsi="Times New Roman" w:cs="Times New Roman"/>
          <w:color w:val="000000"/>
        </w:rPr>
        <w:t xml:space="preserve">.  The parties should then confer in order to agree on a single set of instructions to the extent possible. </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If the parties cannot agree on one complete set of final instructions, they must submit separately those instructions that are not agreed upon.  However, it is not enough for the parties to merely agree upon the general instructions and then each submit their own set of substantive instructions.  The court expects the parties to meet, confer, and agree upon the wording of the substan</w:t>
      </w:r>
      <w:r>
        <w:rPr>
          <w:rFonts w:ascii="Times New Roman" w:eastAsia="Times New Roman" w:hAnsi="Times New Roman" w:cs="Times New Roman"/>
          <w:color w:val="000000"/>
        </w:rPr>
        <w:softHyphen/>
        <w:t>tive instructions for the case.</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 xml:space="preserve">The joint proposed instructions (along with the proposed instructions upon which the parties have been unable to agree) must be filed with the court no later than </w:t>
      </w:r>
      <w:r>
        <w:rPr>
          <w:rFonts w:ascii="Times New Roman" w:eastAsia="Times New Roman" w:hAnsi="Times New Roman" w:cs="Times New Roman"/>
          <w:b/>
          <w:bCs/>
          <w:color w:val="000000"/>
        </w:rPr>
        <w:t>two (2) business days before the final pretrial conference</w:t>
      </w:r>
      <w:r>
        <w:rPr>
          <w:rFonts w:ascii="Times New Roman" w:eastAsia="Times New Roman" w:hAnsi="Times New Roman" w:cs="Times New Roman"/>
          <w:color w:val="000000"/>
        </w:rPr>
        <w:t xml:space="preserve">.  Each </w:t>
      </w:r>
      <w:proofErr w:type="gramStart"/>
      <w:r>
        <w:rPr>
          <w:rFonts w:ascii="Times New Roman" w:eastAsia="Times New Roman" w:hAnsi="Times New Roman" w:cs="Times New Roman"/>
          <w:color w:val="000000"/>
        </w:rPr>
        <w:t>instruction  must</w:t>
      </w:r>
      <w:proofErr w:type="gramEnd"/>
      <w:r>
        <w:rPr>
          <w:rFonts w:ascii="Times New Roman" w:eastAsia="Times New Roman" w:hAnsi="Times New Roman" w:cs="Times New Roman"/>
          <w:color w:val="000000"/>
        </w:rPr>
        <w:t xml:space="preserve"> be labeled and numbered at the top center of the page to identify the party submitting the instruction (e.g., “Joint Instruction No. 1” or “Plaintiff's Instruction No. 1”), and must include citation to the authority that forms the basis for it.</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Each party must file its objections, if any, to jury instructions proposed by any other party no later than</w:t>
      </w:r>
      <w:r>
        <w:rPr>
          <w:rFonts w:ascii="Times New Roman" w:eastAsia="Times New Roman" w:hAnsi="Times New Roman" w:cs="Times New Roman"/>
          <w:b/>
          <w:bCs/>
          <w:color w:val="000000"/>
        </w:rPr>
        <w:t xml:space="preserve"> two (2) business days before the final pretrial conference</w:t>
      </w:r>
      <w:r>
        <w:rPr>
          <w:rFonts w:ascii="Times New Roman" w:eastAsia="Times New Roman" w:hAnsi="Times New Roman" w:cs="Times New Roman"/>
          <w:color w:val="000000"/>
        </w:rPr>
        <w:t xml:space="preserve">.  Any such objections must recite the proposed instruction in its entirety and specifically highlight the objectionable language contained therein.  The objection should contain both a concise argument why the proposed language is improper and citation to relevant legal authority.  Where applicable, the objecting party </w:t>
      </w:r>
      <w:r>
        <w:rPr>
          <w:rFonts w:ascii="Times New Roman" w:eastAsia="Times New Roman" w:hAnsi="Times New Roman" w:cs="Times New Roman"/>
          <w:b/>
          <w:bCs/>
          <w:color w:val="000000"/>
        </w:rPr>
        <w:t>must</w:t>
      </w:r>
      <w:r>
        <w:rPr>
          <w:rFonts w:ascii="Times New Roman" w:eastAsia="Times New Roman" w:hAnsi="Times New Roman" w:cs="Times New Roman"/>
          <w:color w:val="000000"/>
        </w:rPr>
        <w:t xml:space="preserve"> submit, in conformity with paragraph 5(c) above</w:t>
      </w:r>
      <w:proofErr w:type="gramStart"/>
      <w:r>
        <w:rPr>
          <w:rFonts w:ascii="Times New Roman" w:eastAsia="Times New Roman" w:hAnsi="Times New Roman" w:cs="Times New Roman"/>
          <w:color w:val="000000"/>
        </w:rPr>
        <w:t>,  an</w:t>
      </w:r>
      <w:proofErr w:type="gramEnd"/>
      <w:r>
        <w:rPr>
          <w:rFonts w:ascii="Times New Roman" w:eastAsia="Times New Roman" w:hAnsi="Times New Roman" w:cs="Times New Roman"/>
          <w:color w:val="000000"/>
        </w:rPr>
        <w:t xml:space="preserve"> alternative instruction covering the pertinent subject matter </w:t>
      </w:r>
      <w:proofErr w:type="spellStart"/>
      <w:r>
        <w:rPr>
          <w:rFonts w:ascii="Times New Roman" w:eastAsia="Times New Roman" w:hAnsi="Times New Roman" w:cs="Times New Roman"/>
          <w:color w:val="000000"/>
        </w:rPr>
        <w:t>or</w:t>
      </w:r>
      <w:proofErr w:type="spellEnd"/>
      <w:r>
        <w:rPr>
          <w:rFonts w:ascii="Times New Roman" w:eastAsia="Times New Roman" w:hAnsi="Times New Roman" w:cs="Times New Roman"/>
          <w:color w:val="000000"/>
        </w:rPr>
        <w:t xml:space="preserve"> principle of law.  The court will discuss objections to the preliminary instructions at the final pretrial conference.  Any party may, if it chooses, submit a brief written reply in support of its proposed instructions on the </w:t>
      </w:r>
      <w:r>
        <w:rPr>
          <w:rFonts w:ascii="Times New Roman" w:eastAsia="Times New Roman" w:hAnsi="Times New Roman" w:cs="Times New Roman"/>
          <w:b/>
          <w:bCs/>
          <w:color w:val="000000"/>
        </w:rPr>
        <w:t>first day of trial</w:t>
      </w:r>
      <w:r>
        <w:rPr>
          <w:rFonts w:ascii="Times New Roman" w:eastAsia="Times New Roman" w:hAnsi="Times New Roman" w:cs="Times New Roman"/>
          <w:color w:val="000000"/>
        </w:rPr>
        <w:t xml:space="preserve">. </w:t>
      </w:r>
    </w:p>
    <w:p w:rsidR="00461C95" w:rsidRDefault="00461C95" w:rsidP="00296633">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(e)</w:t>
      </w:r>
      <w:r>
        <w:rPr>
          <w:rFonts w:ascii="Times New Roman" w:eastAsia="Times New Roman" w:hAnsi="Times New Roman" w:cs="Times New Roman"/>
          <w:color w:val="000000"/>
        </w:rPr>
        <w:tab/>
        <w:t xml:space="preserve">All instructions should be short, concise, understandable, and </w:t>
      </w:r>
      <w:r>
        <w:rPr>
          <w:rFonts w:ascii="Times New Roman" w:eastAsia="Times New Roman" w:hAnsi="Times New Roman" w:cs="Times New Roman"/>
          <w:color w:val="000000"/>
          <w:u w:val="single"/>
        </w:rPr>
        <w:t>neutral</w:t>
      </w:r>
      <w:r>
        <w:rPr>
          <w:rFonts w:ascii="Times New Roman" w:eastAsia="Times New Roman" w:hAnsi="Times New Roman" w:cs="Times New Roman"/>
          <w:color w:val="000000"/>
        </w:rPr>
        <w:t xml:space="preserve"> statements </w:t>
      </w:r>
      <w:proofErr w:type="gramStart"/>
      <w:r>
        <w:rPr>
          <w:rFonts w:ascii="Times New Roman" w:eastAsia="Times New Roman" w:hAnsi="Times New Roman" w:cs="Times New Roman"/>
          <w:color w:val="000000"/>
        </w:rPr>
        <w:t>of</w:t>
      </w:r>
      <w:r w:rsidR="0029663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law</w:t>
      </w:r>
      <w:proofErr w:type="gramEnd"/>
      <w:r>
        <w:rPr>
          <w:rFonts w:ascii="Times New Roman" w:eastAsia="Times New Roman" w:hAnsi="Times New Roman" w:cs="Times New Roman"/>
          <w:color w:val="000000"/>
        </w:rPr>
        <w:t>.  Argumentative instructions are improper and will not be given.</w:t>
      </w:r>
    </w:p>
    <w:p w:rsidR="00461C95" w:rsidRDefault="00461C95">
      <w:pPr>
        <w:spacing w:line="480" w:lineRule="auto"/>
        <w:ind w:left="1440" w:hanging="720"/>
        <w:rPr>
          <w:rFonts w:ascii="Times New Roman" w:eastAsia="Times New Roman" w:hAnsi="Times New Roman" w:cs="Times New Roman"/>
          <w:b/>
          <w:bCs/>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rPr>
        <w:tab/>
        <w:t>Modified versions of statutory or other form jury instructions (</w:t>
      </w:r>
      <w:r>
        <w:rPr>
          <w:rFonts w:ascii="Times New Roman" w:eastAsia="Times New Roman" w:hAnsi="Times New Roman" w:cs="Times New Roman"/>
          <w:color w:val="000000"/>
          <w:u w:val="single"/>
        </w:rPr>
        <w:t>e.g.</w:t>
      </w:r>
      <w:r>
        <w:rPr>
          <w:rFonts w:ascii="Times New Roman" w:eastAsia="Times New Roman" w:hAnsi="Times New Roman" w:cs="Times New Roman"/>
          <w:color w:val="000000"/>
        </w:rPr>
        <w:t xml:space="preserve">, Devitt &amp; </w:t>
      </w:r>
      <w:proofErr w:type="spellStart"/>
      <w:r>
        <w:rPr>
          <w:rFonts w:ascii="Times New Roman" w:eastAsia="Times New Roman" w:hAnsi="Times New Roman" w:cs="Times New Roman"/>
          <w:color w:val="000000"/>
        </w:rPr>
        <w:t>Blackmar</w:t>
      </w:r>
      <w:proofErr w:type="spellEnd"/>
      <w:r>
        <w:rPr>
          <w:rFonts w:ascii="Times New Roman" w:eastAsia="Times New Roman" w:hAnsi="Times New Roman" w:cs="Times New Roman"/>
          <w:color w:val="000000"/>
        </w:rPr>
        <w:t xml:space="preserve">) are acceptable.  A modified jury instruction must, however, identify the exact nature of the modification made to the form instruction and cite the court to authority, if any, supporting such a modification.  </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6.  Proposed Verdict Form.</w:t>
      </w:r>
    </w:p>
    <w:p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The procedure and deadlines outlined for proposed jury instructions will also apply to verdict forms.</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7.  Requests for </w:t>
      </w:r>
      <w:proofErr w:type="spellStart"/>
      <w:r>
        <w:rPr>
          <w:rFonts w:ascii="Times New Roman" w:eastAsia="Times New Roman" w:hAnsi="Times New Roman" w:cs="Times New Roman"/>
          <w:b/>
          <w:bCs/>
          <w:color w:val="000000"/>
        </w:rPr>
        <w:t>Voir</w:t>
      </w:r>
      <w:proofErr w:type="spellEnd"/>
      <w:r>
        <w:rPr>
          <w:rFonts w:ascii="Times New Roman" w:eastAsia="Times New Roman" w:hAnsi="Times New Roman" w:cs="Times New Roman"/>
          <w:b/>
          <w:bCs/>
          <w:color w:val="000000"/>
        </w:rPr>
        <w:t xml:space="preserve"> Dire Examination of the Venire.  </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Subject to the specific circumstances of each case, the court has adopted a standard practice for conducting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and empaneling a jury.  The court typically elicits general information from each potential juror, followed by a series of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background questions calling for simple “yes” or “no” responses.  As necessary, the court conducts initial follow-up in chambers with select potential jurors based upon the information and/or answers provided during the general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w:t>
      </w:r>
      <w:proofErr w:type="gramStart"/>
      <w:r>
        <w:rPr>
          <w:rFonts w:ascii="Times New Roman" w:eastAsia="Times New Roman" w:hAnsi="Times New Roman" w:cs="Times New Roman"/>
          <w:color w:val="000000"/>
        </w:rPr>
        <w:t>Counsel are</w:t>
      </w:r>
      <w:proofErr w:type="gramEnd"/>
      <w:r>
        <w:rPr>
          <w:rFonts w:ascii="Times New Roman" w:eastAsia="Times New Roman" w:hAnsi="Times New Roman" w:cs="Times New Roman"/>
          <w:color w:val="000000"/>
        </w:rPr>
        <w:t xml:space="preserve"> ordinarily permitted to conduct additional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concerning answers as potential jurors are brought into chambers.</w:t>
      </w:r>
    </w:p>
    <w:p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The court has adopted its own standard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questions, which are posted on the court’s website. The parties may request that, in addition to its usual questions, the court ask additional specific questions to the jury panel.  Any such request should follow the procedure and deadlines outlined for proposed jury instructions.  Proposed questions should be drafted in a form that can be answered in writing with a “yes” or “no.”  A “yes” answer should indicate that there may be a need for additional examination by counsel in chambers.  </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8.  Motions in </w:t>
      </w:r>
      <w:proofErr w:type="spellStart"/>
      <w:r>
        <w:rPr>
          <w:rFonts w:ascii="Times New Roman" w:eastAsia="Times New Roman" w:hAnsi="Times New Roman" w:cs="Times New Roman"/>
          <w:b/>
          <w:bCs/>
          <w:color w:val="000000"/>
        </w:rPr>
        <w:t>Limine</w:t>
      </w:r>
      <w:proofErr w:type="spellEnd"/>
      <w:r>
        <w:rPr>
          <w:rFonts w:ascii="Times New Roman" w:eastAsia="Times New Roman" w:hAnsi="Times New Roman" w:cs="Times New Roman"/>
          <w:color w:val="000000"/>
        </w:rPr>
        <w:t>.</w:t>
      </w:r>
    </w:p>
    <w:p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All motions in </w:t>
      </w:r>
      <w:proofErr w:type="spellStart"/>
      <w:r>
        <w:rPr>
          <w:rFonts w:ascii="Times New Roman" w:eastAsia="Times New Roman" w:hAnsi="Times New Roman" w:cs="Times New Roman"/>
          <w:color w:val="000000"/>
        </w:rPr>
        <w:t>limine</w:t>
      </w:r>
      <w:proofErr w:type="spellEnd"/>
      <w:r>
        <w:rPr>
          <w:rFonts w:ascii="Times New Roman" w:eastAsia="Times New Roman" w:hAnsi="Times New Roman" w:cs="Times New Roman"/>
          <w:color w:val="000000"/>
        </w:rPr>
        <w:t xml:space="preserve"> are to be filed with the court at least</w:t>
      </w:r>
      <w:r>
        <w:rPr>
          <w:rFonts w:ascii="Times New Roman" w:eastAsia="Times New Roman" w:hAnsi="Times New Roman" w:cs="Times New Roman"/>
          <w:b/>
          <w:bCs/>
          <w:color w:val="000000"/>
        </w:rPr>
        <w:t xml:space="preserve"> seven (7) days before the final pretrial conference</w:t>
      </w:r>
      <w:r>
        <w:rPr>
          <w:rFonts w:ascii="Times New Roman" w:eastAsia="Times New Roman" w:hAnsi="Times New Roman" w:cs="Times New Roman"/>
          <w:color w:val="000000"/>
        </w:rPr>
        <w:t xml:space="preserve">, unless otherwise ordered by the court.  The non-moving party should file any opposition no later than </w:t>
      </w:r>
      <w:r>
        <w:rPr>
          <w:rFonts w:ascii="Times New Roman" w:eastAsia="Times New Roman" w:hAnsi="Times New Roman" w:cs="Times New Roman"/>
          <w:b/>
          <w:bCs/>
          <w:color w:val="000000"/>
        </w:rPr>
        <w:t>three (3) days before the final pretrial conference</w:t>
      </w:r>
      <w:r>
        <w:rPr>
          <w:rFonts w:ascii="Times New Roman" w:eastAsia="Times New Roman" w:hAnsi="Times New Roman" w:cs="Times New Roman"/>
          <w:color w:val="000000"/>
        </w:rPr>
        <w:t xml:space="preserve">, and the moving party should submit a reply if they so choose at least </w:t>
      </w:r>
      <w:r>
        <w:rPr>
          <w:rFonts w:ascii="Times New Roman" w:eastAsia="Times New Roman" w:hAnsi="Times New Roman" w:cs="Times New Roman"/>
          <w:b/>
          <w:bCs/>
          <w:color w:val="000000"/>
        </w:rPr>
        <w:t>two (2) business days before the final pretrial conference</w:t>
      </w:r>
      <w:r>
        <w:rPr>
          <w:rFonts w:ascii="Times New Roman" w:eastAsia="Times New Roman" w:hAnsi="Times New Roman" w:cs="Times New Roman"/>
          <w:color w:val="000000"/>
        </w:rPr>
        <w:t xml:space="preserve">.  Motions in </w:t>
      </w:r>
      <w:proofErr w:type="spellStart"/>
      <w:r>
        <w:rPr>
          <w:rFonts w:ascii="Times New Roman" w:eastAsia="Times New Roman" w:hAnsi="Times New Roman" w:cs="Times New Roman"/>
          <w:color w:val="000000"/>
        </w:rPr>
        <w:t>limine</w:t>
      </w:r>
      <w:proofErr w:type="spellEnd"/>
      <w:r>
        <w:rPr>
          <w:rFonts w:ascii="Times New Roman" w:eastAsia="Times New Roman" w:hAnsi="Times New Roman" w:cs="Times New Roman"/>
          <w:color w:val="000000"/>
        </w:rPr>
        <w:t xml:space="preserve"> should not exceed five pages absent leave of the court.</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9.   Trial Briefs.</w:t>
      </w:r>
    </w:p>
    <w:p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Any Trial Briefs must be filed no later than </w:t>
      </w:r>
      <w:r>
        <w:rPr>
          <w:rFonts w:ascii="Times New Roman" w:eastAsia="Times New Roman" w:hAnsi="Times New Roman" w:cs="Times New Roman"/>
          <w:b/>
          <w:bCs/>
          <w:color w:val="000000"/>
        </w:rPr>
        <w:t>three (3) business days before trial</w:t>
      </w:r>
      <w:r>
        <w:rPr>
          <w:rFonts w:ascii="Times New Roman" w:eastAsia="Times New Roman" w:hAnsi="Times New Roman" w:cs="Times New Roman"/>
          <w:color w:val="000000"/>
        </w:rPr>
        <w:t>.</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10.  Exhibit Lists and Marking Exhibits.</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Counsel for all parties must exchange with all opposing parties copies of each exhibit to be used at trial.  The United States must provide opposing counsel such exhibits</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no later than </w:t>
      </w:r>
      <w:r>
        <w:rPr>
          <w:rFonts w:ascii="Times New Roman" w:eastAsia="Times New Roman" w:hAnsi="Times New Roman" w:cs="Times New Roman"/>
          <w:b/>
          <w:bCs/>
          <w:color w:val="000000"/>
        </w:rPr>
        <w:t>fourteen (14) days before the final pretrial conference</w:t>
      </w:r>
      <w:r>
        <w:rPr>
          <w:rFonts w:ascii="Times New Roman" w:eastAsia="Times New Roman" w:hAnsi="Times New Roman" w:cs="Times New Roman"/>
          <w:color w:val="000000"/>
        </w:rPr>
        <w:t>.  The Defendant(s) must provide opposing counsel such exhibits</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no later than</w:t>
      </w:r>
      <w:r>
        <w:rPr>
          <w:rFonts w:ascii="Times New Roman" w:eastAsia="Times New Roman" w:hAnsi="Times New Roman" w:cs="Times New Roman"/>
          <w:b/>
          <w:bCs/>
          <w:color w:val="000000"/>
        </w:rPr>
        <w:t xml:space="preserve"> seven (7) days before the final pretrial conference</w:t>
      </w:r>
      <w:r>
        <w:rPr>
          <w:rFonts w:ascii="Times New Roman" w:eastAsia="Times New Roman" w:hAnsi="Times New Roman" w:cs="Times New Roman"/>
          <w:color w:val="000000"/>
        </w:rPr>
        <w:t xml:space="preserve">.  Counsel should clearly mark any exhibits that will </w:t>
      </w:r>
      <w:proofErr w:type="gramStart"/>
      <w:r>
        <w:rPr>
          <w:rFonts w:ascii="Times New Roman" w:eastAsia="Times New Roman" w:hAnsi="Times New Roman" w:cs="Times New Roman"/>
          <w:color w:val="000000"/>
        </w:rPr>
        <w:t>used</w:t>
      </w:r>
      <w:proofErr w:type="gramEnd"/>
      <w:r>
        <w:rPr>
          <w:rFonts w:ascii="Times New Roman" w:eastAsia="Times New Roman" w:hAnsi="Times New Roman" w:cs="Times New Roman"/>
          <w:color w:val="000000"/>
        </w:rPr>
        <w:t xml:space="preserve"> during opening statements.</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Counsel should use reasonable effort to avoid duplication of any exhibit pre-marked by the opposing party.  Exhibits to be exchanged shall include all evidence to be offered except the following: oral testimony to be offered at trial, sworn deposition testimony, documents to be used solely for impeachment, demonstrative exhibits created in connection with oral testimony at trial, and objects or other physical evidence.  But counsel should exchange photos of objects and other physical evidence.  Counsel should exchange copies in electronic media, but may also include a hard copy.  Counsel must report to the court whether this requirement has been completed at the final pretrial conference.</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All exhibits to be used at trial must, at the time they are exchanged with opposing counsel, be marked for identification numerically.  The United States should start numbering its exhibits at 1.  Defendants should start their numbering at 1000.  The exhibit identification should include a designation of the party offering the exhibit, such as “Plaintiff’s Exhibit ___” or “Defendant’s Exhibit ___.”</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All parties are required to prepare an exhibit list for the court’s use at trial.  The list contained in the pretrial order will not be sufficient; a separate list must be prepared.  Standard forms for exhibit lists are available at the clerk's office, and questions regarding the preparation of these lists may be directed to the courtroom deputy, Mary Jane McNamee, at 801-524-6790.  The parties should email their exhibit lists to chambers no later than the</w:t>
      </w:r>
      <w:r>
        <w:rPr>
          <w:rFonts w:ascii="Times New Roman" w:eastAsia="Times New Roman" w:hAnsi="Times New Roman" w:cs="Times New Roman"/>
          <w:b/>
          <w:bCs/>
          <w:color w:val="000000"/>
        </w:rPr>
        <w:t xml:space="preserve"> day of the final pretrial conference</w:t>
      </w:r>
      <w:r>
        <w:rPr>
          <w:rFonts w:ascii="Times New Roman" w:eastAsia="Times New Roman" w:hAnsi="Times New Roman" w:cs="Times New Roman"/>
          <w:color w:val="000000"/>
        </w:rPr>
        <w:t>.</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exhibits that have been pre-marked must be presented in court in both hard copy and electronic media.  An electronic copy of each exhibit should be submitted to the courtroom deputy to manage and track the exhibits offered and received at trial.  Exhibits must be contained in a USB Flash Drive and delivered to the court on the first day of trial.   A hard copy of every exhibit offered in evidence shall be presented to the court at or before the time the exhibit is first used.  Depending on the nature of the case, the character and volume of exhibits, and possibly the preference of the jury, exhibits ordinarily will be provided to the jury for deliberations electronically, in hard copy, or both.  All electronic copies of exhibits should be submitted in searchable PDF format unless it is a picture, or it is otherwise infeasible or impractical to do so. </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Pages of documentary exhibits must retain Bates stamps used when the documents were produced in discovery.</w:t>
      </w:r>
    </w:p>
    <w:p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Any objection to the authenticity of an exhibit as defined by Rule 901 of the Federal Rules of Evidence, and any objections of any nature to exhibits that will be used by counsel during opening arguments, must be made in writing no later than</w:t>
      </w:r>
      <w:r>
        <w:rPr>
          <w:rFonts w:ascii="Times New Roman" w:eastAsia="Times New Roman" w:hAnsi="Times New Roman" w:cs="Times New Roman"/>
          <w:b/>
          <w:bCs/>
          <w:color w:val="000000"/>
        </w:rPr>
        <w:t xml:space="preserve"> two (2) business days before the final pretrial conference</w:t>
      </w:r>
      <w:r>
        <w:rPr>
          <w:rFonts w:ascii="Times New Roman" w:eastAsia="Times New Roman" w:hAnsi="Times New Roman" w:cs="Times New Roman"/>
          <w:color w:val="000000"/>
        </w:rPr>
        <w:t>.  The court will address these challenges at the final pretrial conference.  All other objections to the admissibility of an exhibit are reserved until the exhibit is offered at trial.</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11.  Witness Lists.</w:t>
      </w:r>
    </w:p>
    <w:p w:rsidR="00461C95" w:rsidRDefault="00461C95" w:rsidP="00296633">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Each party must exchange with all opposing parties a list of witnesses the party will call or may call at trial.  The parties must exchange witness lists no later than two (2) business days before the final pretrial conference.  Each party is required to submit a separate witness list for the court’s use at trial.  Standard forms for witness lists are available from the court’s website, and questions regarding the preparation of these lists may be directed to the case manager, Mary Jane McNamee at 801-524-6790.  Witness lists must be emailed as a Word document to </w:t>
      </w:r>
      <w:r>
        <w:rPr>
          <w:rFonts w:ascii="Times New Roman" w:eastAsia="Times New Roman" w:hAnsi="Times New Roman" w:cs="Times New Roman"/>
          <w:b/>
          <w:bCs/>
          <w:color w:val="00AA00"/>
          <w:u w:val="single"/>
        </w:rPr>
        <w:t>utdecf_shelby@utd.uscourts.gov</w:t>
      </w:r>
      <w:r>
        <w:rPr>
          <w:rFonts w:ascii="Times New Roman" w:eastAsia="Times New Roman" w:hAnsi="Times New Roman" w:cs="Times New Roman"/>
          <w:color w:val="000000"/>
        </w:rPr>
        <w:t xml:space="preserve"> three business days before trial.  </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12.  Closing Argument.</w:t>
      </w:r>
    </w:p>
    <w:p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Closing argument will follow the court’s final instructions to the jury.  Counsel may refer to and use the jury instructions during closing argument.  </w:t>
      </w:r>
    </w:p>
    <w:p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13.  Courtroom Conduct</w:t>
      </w:r>
      <w:r>
        <w:rPr>
          <w:rFonts w:ascii="Times New Roman" w:eastAsia="Times New Roman" w:hAnsi="Times New Roman" w:cs="Times New Roman"/>
          <w:color w:val="000000"/>
        </w:rPr>
        <w:t>.</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addition to the rules outlined in </w:t>
      </w:r>
      <w:proofErr w:type="spellStart"/>
      <w:r>
        <w:rPr>
          <w:rFonts w:ascii="Times New Roman" w:eastAsia="Times New Roman" w:hAnsi="Times New Roman" w:cs="Times New Roman"/>
          <w:color w:val="000000"/>
        </w:rPr>
        <w:t>DUCrimR</w:t>
      </w:r>
      <w:proofErr w:type="spellEnd"/>
      <w:r>
        <w:rPr>
          <w:rFonts w:ascii="Times New Roman" w:eastAsia="Times New Roman" w:hAnsi="Times New Roman" w:cs="Times New Roman"/>
          <w:color w:val="000000"/>
        </w:rPr>
        <w:t xml:space="preserve"> 53-1, the court has established the following ground rules for the conduct of counsel at trial:</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It is expected and required that counsel will be on time for each court session.  In most cases, trial will be conducted from 8:30 a.m. until 2:00 p.m., with two short (thirty minute) breaks at about 10:00 a.m. and noon.  Trial engagements take precedence over any other business.</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Stand as court is opened, recessed or adjourned.</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Stand when the jury enters or retires from the courtroom.</w:t>
      </w: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Stand when addressing, or being addressed by, the court.</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In making objections, counsel should state only the legal grounds for the objection and should withhold all further comment or argument unless elaboration is requested by the court.  For example, the following objections would be proper:  “Objection . . . hearsay” or “Objection . . . foundation.”  The following objection would be improper unless the court had requested further argument: “Objection, there has been no foundation laid for the expert’s opinion and this testimony is inherently unreliable.”</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 </w:t>
      </w:r>
      <w:r>
        <w:rPr>
          <w:rFonts w:ascii="Times New Roman" w:eastAsia="Times New Roman" w:hAnsi="Times New Roman" w:cs="Times New Roman"/>
          <w:color w:val="000000"/>
        </w:rPr>
        <w:tab/>
        <w:t xml:space="preserve">Sidebar conferences are strongly disfavored.  Most matters requiring argument must be raised during recess outside the presence of the jury.  Counsel should plan accordingly.  If a sidebar conference is held, the court will, if possible, inform the jury of the substance of the sidebar argument.  </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 </w:t>
      </w:r>
      <w:r>
        <w:rPr>
          <w:rFonts w:ascii="Times New Roman" w:eastAsia="Times New Roman" w:hAnsi="Times New Roman" w:cs="Times New Roman"/>
          <w:color w:val="000000"/>
        </w:rPr>
        <w:tab/>
        <w:t xml:space="preserve">Counsel should address witnesses from the podium, but counsel need not ask permission to approach a witness in order to </w:t>
      </w:r>
      <w:r>
        <w:rPr>
          <w:rFonts w:ascii="Times New Roman" w:eastAsia="Times New Roman" w:hAnsi="Times New Roman" w:cs="Times New Roman"/>
          <w:b/>
          <w:bCs/>
          <w:color w:val="000000"/>
        </w:rPr>
        <w:t>briefly</w:t>
      </w:r>
      <w:r>
        <w:rPr>
          <w:rFonts w:ascii="Times New Roman" w:eastAsia="Times New Roman" w:hAnsi="Times New Roman" w:cs="Times New Roman"/>
          <w:color w:val="000000"/>
        </w:rPr>
        <w:t xml:space="preserve"> hand the witness a document or exhibit.  Counsel should not approach the jury box without leave of the court.  Counsel may leave the podium during opening statement and closing argument and may approach the jury box at those times.  However, counsel should at all times respect the jurors’ personal space.</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 </w:t>
      </w:r>
      <w:r>
        <w:rPr>
          <w:rFonts w:ascii="Times New Roman" w:eastAsia="Times New Roman" w:hAnsi="Times New Roman" w:cs="Times New Roman"/>
          <w:color w:val="000000"/>
        </w:rPr>
        <w:tab/>
        <w:t>Address all remarks to the court, not to opposing counsel, and do not make disparaging or acrimonious remarks toward opposing counsel or witnesses.  Counsel shall instruct all persons at counsel table that gestures, facial expressions, audible comments, or any other manifestations of approval or disapproval during the testimony of witnesses, or at any other time, are absolutely prohibited.</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Refer to all persons, including witnesses, other counsel, and parties, by their surnames and </w:t>
      </w:r>
      <w:r>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by their first or given names.</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(j) </w:t>
      </w:r>
      <w:r>
        <w:rPr>
          <w:rFonts w:ascii="Times New Roman" w:eastAsia="Times New Roman" w:hAnsi="Times New Roman" w:cs="Times New Roman"/>
          <w:color w:val="000000"/>
        </w:rPr>
        <w:tab/>
        <w:t>Only one attorney for each party shall examine, or cross-examine, each witness.  The attorney stating objections during direct examination shall be the attorney recognized for cross examination.</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 </w:t>
      </w:r>
      <w:r>
        <w:rPr>
          <w:rFonts w:ascii="Times New Roman" w:eastAsia="Times New Roman" w:hAnsi="Times New Roman" w:cs="Times New Roman"/>
          <w:color w:val="000000"/>
        </w:rPr>
        <w:tab/>
        <w:t>Offers of, or requests for, a stipulation shall be made out of the hearing of the jury.</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 </w:t>
      </w:r>
      <w:r>
        <w:rPr>
          <w:rFonts w:ascii="Times New Roman" w:eastAsia="Times New Roman" w:hAnsi="Times New Roman" w:cs="Times New Roman"/>
          <w:color w:val="000000"/>
        </w:rPr>
        <w:tab/>
        <w:t>When not taking testimony, counsel will remain seated at counsel table throughout the trial unless it is necessary to move to see a witness.  Absent an emergency, do not leave the courtroom while court is in session.  If you must leave the courtroom, you do not need to ask the court's permission.  Except as necessary to coordinate the presentation of witnesses or evidence, do not confer with or visit with anyone in the spectator section while court is in session.</w:t>
      </w:r>
    </w:p>
    <w:p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 </w:t>
      </w:r>
      <w:r>
        <w:rPr>
          <w:rFonts w:ascii="Times New Roman" w:eastAsia="Times New Roman" w:hAnsi="Times New Roman" w:cs="Times New Roman"/>
          <w:color w:val="000000"/>
        </w:rPr>
        <w:tab/>
        <w:t xml:space="preserve">Counsel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reminded that vouching is improper.  In opening statements and in arguments to the jury, counsel shall not express personal knowledge or opinion concerning any matter in issue.  The following examples would be improper: “I believe the witness was telling the truth” or “I found the testimony credible.”</w:t>
      </w:r>
    </w:p>
    <w:p w:rsidR="00461C95" w:rsidRDefault="00461C95">
      <w:pPr>
        <w:spacing w:line="480" w:lineRule="auto"/>
        <w:rPr>
          <w:rFonts w:ascii="Times New Roman" w:eastAsia="Times New Roman" w:hAnsi="Times New Roman" w:cs="Times New Roman"/>
          <w:color w:val="000000"/>
        </w:rPr>
      </w:pPr>
    </w:p>
    <w:p w:rsidR="00461C95" w:rsidRDefault="00461C95">
      <w:pPr>
        <w:spacing w:line="480" w:lineRule="auto"/>
        <w:rPr>
          <w:rFonts w:ascii="Times New Roman" w:eastAsia="Times New Roman" w:hAnsi="Times New Roman" w:cs="Times New Roman"/>
          <w:color w:val="000000"/>
        </w:rPr>
      </w:pPr>
    </w:p>
    <w:p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DATED this </w:t>
      </w:r>
      <w:r>
        <w:rPr>
          <w:rFonts w:ascii="Times New Roman" w:eastAsia="Times New Roman" w:hAnsi="Times New Roman" w:cs="Times New Roman"/>
          <w:b/>
          <w:bCs/>
          <w:color w:val="000000"/>
        </w:rPr>
        <w:t>[DATE]</w:t>
      </w:r>
      <w:r>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461C95" w:rsidRDefault="00461C95">
      <w:pPr>
        <w:spacing w:line="480" w:lineRule="auto"/>
        <w:ind w:firstLine="4320"/>
        <w:rPr>
          <w:rFonts w:ascii="Times New Roman" w:eastAsia="Times New Roman" w:hAnsi="Times New Roman" w:cs="Times New Roman"/>
          <w:color w:val="000000"/>
        </w:rPr>
      </w:pPr>
      <w:r>
        <w:rPr>
          <w:rFonts w:ascii="Times New Roman" w:eastAsia="Times New Roman" w:hAnsi="Times New Roman" w:cs="Times New Roman"/>
          <w:color w:val="000000"/>
        </w:rPr>
        <w:t>BY THE COURT:</w:t>
      </w:r>
    </w:p>
    <w:p w:rsidR="00461C95" w:rsidRDefault="00461C95">
      <w:pPr>
        <w:spacing w:line="480" w:lineRule="auto"/>
        <w:ind w:firstLine="4320"/>
        <w:rPr>
          <w:rFonts w:ascii="Times New Roman" w:eastAsia="Times New Roman" w:hAnsi="Times New Roman" w:cs="Times New Roman"/>
          <w:color w:val="000000"/>
        </w:rPr>
      </w:pPr>
    </w:p>
    <w:p w:rsidR="00461C95" w:rsidRDefault="00461C95">
      <w:pPr>
        <w:ind w:firstLine="432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w:t>
      </w:r>
    </w:p>
    <w:p w:rsidR="00461C95" w:rsidRDefault="00461C95">
      <w:pPr>
        <w:ind w:firstLine="4320"/>
        <w:rPr>
          <w:rFonts w:ascii="Times New Roman" w:eastAsia="Times New Roman" w:hAnsi="Times New Roman" w:cs="Times New Roman"/>
          <w:color w:val="000000"/>
        </w:rPr>
      </w:pPr>
      <w:r>
        <w:rPr>
          <w:rFonts w:ascii="Times New Roman" w:eastAsia="Times New Roman" w:hAnsi="Times New Roman" w:cs="Times New Roman"/>
          <w:color w:val="000000"/>
        </w:rPr>
        <w:t>ROBERT SHELBY</w:t>
      </w:r>
    </w:p>
    <w:p w:rsidR="00461C95" w:rsidRDefault="00461C95">
      <w:pPr>
        <w:ind w:firstLine="4320"/>
      </w:pPr>
      <w:r>
        <w:rPr>
          <w:rFonts w:ascii="Times New Roman" w:eastAsia="Times New Roman" w:hAnsi="Times New Roman" w:cs="Times New Roman"/>
          <w:color w:val="000000"/>
        </w:rPr>
        <w:t>United States District Judge</w:t>
      </w:r>
    </w:p>
    <w:sectPr w:rsidR="00461C95">
      <w:footerReference w:type="default" r:id="rId7"/>
      <w:footerReference w:type="first" r:id="rId8"/>
      <w:pgSz w:w="12240" w:h="15840"/>
      <w:pgMar w:top="2160" w:right="1440" w:bottom="1435" w:left="1440"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5E" w:rsidRDefault="0024305E">
      <w:r>
        <w:separator/>
      </w:r>
    </w:p>
  </w:endnote>
  <w:endnote w:type="continuationSeparator" w:id="0">
    <w:p w:rsidR="0024305E" w:rsidRDefault="0024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95" w:rsidRDefault="00461C95">
    <w:pPr>
      <w:jc w:val="center"/>
    </w:pPr>
    <w:r>
      <w:rPr>
        <w:rFonts w:eastAsia="Times New Roman" w:cs="Times New Roman"/>
      </w:rPr>
      <w:fldChar w:fldCharType="begin"/>
    </w:r>
    <w:r>
      <w:rPr>
        <w:rFonts w:eastAsia="Times New Roman" w:cs="Times New Roman"/>
      </w:rPr>
      <w:instrText xml:space="preserve"> PAGE \* ARABIC </w:instrText>
    </w:r>
    <w:r>
      <w:rPr>
        <w:rFonts w:eastAsia="Times New Roman" w:cs="Times New Roman"/>
      </w:rPr>
      <w:fldChar w:fldCharType="separate"/>
    </w:r>
    <w:r w:rsidR="00BD3B39">
      <w:rPr>
        <w:rFonts w:eastAsia="Times New Roman" w:cs="Times New Roman"/>
        <w:noProof/>
      </w:rPr>
      <w:t>11</w:t>
    </w:r>
    <w:r>
      <w:rPr>
        <w:rFonts w:eastAsia="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95" w:rsidRDefault="00461C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5E" w:rsidRDefault="0024305E">
      <w:r>
        <w:separator/>
      </w:r>
    </w:p>
  </w:footnote>
  <w:footnote w:type="continuationSeparator" w:id="0">
    <w:p w:rsidR="0024305E" w:rsidRDefault="00243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196"/>
    <w:rsid w:val="0024305E"/>
    <w:rsid w:val="00296633"/>
    <w:rsid w:val="003F586D"/>
    <w:rsid w:val="00461C95"/>
    <w:rsid w:val="006712F9"/>
    <w:rsid w:val="00680196"/>
    <w:rsid w:val="007875C3"/>
    <w:rsid w:val="00823AFB"/>
    <w:rsid w:val="00BD3B39"/>
    <w:rsid w:val="00CF4977"/>
    <w:rsid w:val="00E52523"/>
    <w:rsid w:val="00E60DBF"/>
    <w:rsid w:val="00E9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Arial Unicode MS"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BalloonText">
    <w:name w:val="Balloon Text"/>
    <w:basedOn w:val="Normal"/>
    <w:link w:val="BalloonTextChar"/>
    <w:uiPriority w:val="99"/>
    <w:semiHidden/>
    <w:unhideWhenUsed/>
    <w:rsid w:val="00680196"/>
    <w:rPr>
      <w:rFonts w:ascii="Tahoma" w:hAnsi="Tahoma"/>
      <w:sz w:val="16"/>
      <w:szCs w:val="14"/>
    </w:rPr>
  </w:style>
  <w:style w:type="character" w:customStyle="1" w:styleId="BalloonTextChar">
    <w:name w:val="Balloon Text Char"/>
    <w:link w:val="BalloonText"/>
    <w:uiPriority w:val="99"/>
    <w:semiHidden/>
    <w:rsid w:val="00680196"/>
    <w:rPr>
      <w:rFonts w:ascii="Tahoma" w:eastAsia="Arial Unicode MS" w:hAnsi="Tahoma" w:cs="Mangal"/>
      <w:kern w:val="1"/>
      <w:sz w:val="16"/>
      <w:szCs w:val="14"/>
      <w:lang w:eastAsia="zh-CN" w:bidi="hi-IN"/>
    </w:rPr>
  </w:style>
  <w:style w:type="table" w:styleId="TableGrid">
    <w:name w:val="Table Grid"/>
    <w:basedOn w:val="TableNormal"/>
    <w:uiPriority w:val="59"/>
    <w:rsid w:val="00CF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rFonts w:ascii="Liberation Serif" w:eastAsia="Arial Unicode MS" w:hAnsi="Liberation Serif" w:cs="Mangal"/>
      <w:kern w:val="1"/>
      <w:szCs w:val="18"/>
      <w:lang w:eastAsia="zh-CN" w:bidi="hi-IN"/>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7AD7FE4C.dotm</Template>
  <TotalTime>1</TotalTime>
  <Pages>11</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McNamee</dc:creator>
  <cp:lastModifiedBy>Ruth Schriock</cp:lastModifiedBy>
  <cp:revision>3</cp:revision>
  <cp:lastPrinted>2016-10-03T21:10:00Z</cp:lastPrinted>
  <dcterms:created xsi:type="dcterms:W3CDTF">2016-10-03T21:12:00Z</dcterms:created>
  <dcterms:modified xsi:type="dcterms:W3CDTF">2016-10-04T15:39:00Z</dcterms:modified>
</cp:coreProperties>
</file>