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2321" w:rsidRPr="0089197B" w:rsidRDefault="00142321" w:rsidP="0038566E">
      <w:pPr>
        <w:jc w:val="center"/>
        <w:rPr>
          <w:b/>
        </w:rPr>
      </w:pPr>
      <w:r w:rsidRPr="0089197B">
        <w:rPr>
          <w:b/>
        </w:rPr>
        <w:t>Five</w:t>
      </w:r>
      <w:r w:rsidR="00872584">
        <w:rPr>
          <w:b/>
        </w:rPr>
        <w:t>-</w:t>
      </w:r>
      <w:r w:rsidR="003D6458" w:rsidRPr="0089197B">
        <w:rPr>
          <w:b/>
        </w:rPr>
        <w:t>Y</w:t>
      </w:r>
      <w:r w:rsidRPr="0089197B">
        <w:rPr>
          <w:b/>
        </w:rPr>
        <w:t>ear</w:t>
      </w:r>
      <w:r w:rsidR="0082391E" w:rsidRPr="0089197B">
        <w:rPr>
          <w:b/>
        </w:rPr>
        <w:t xml:space="preserve"> </w:t>
      </w:r>
      <w:r w:rsidR="003D6458" w:rsidRPr="0089197B">
        <w:rPr>
          <w:b/>
        </w:rPr>
        <w:t>S</w:t>
      </w:r>
      <w:r w:rsidRPr="0089197B">
        <w:rPr>
          <w:b/>
        </w:rPr>
        <w:t xml:space="preserve">ervices </w:t>
      </w:r>
      <w:r w:rsidR="003D6458" w:rsidRPr="0089197B">
        <w:rPr>
          <w:b/>
        </w:rPr>
        <w:t>P</w:t>
      </w:r>
      <w:r w:rsidRPr="0089197B">
        <w:rPr>
          <w:b/>
        </w:rPr>
        <w:t>lan for</w:t>
      </w:r>
      <w:r w:rsidR="003D6458" w:rsidRPr="0089197B">
        <w:rPr>
          <w:b/>
        </w:rPr>
        <w:t xml:space="preserve"> S</w:t>
      </w:r>
      <w:r w:rsidRPr="0089197B">
        <w:rPr>
          <w:b/>
        </w:rPr>
        <w:t>outhern Utah</w:t>
      </w:r>
      <w:r w:rsidR="003D6458" w:rsidRPr="0089197B">
        <w:rPr>
          <w:b/>
        </w:rPr>
        <w:t xml:space="preserve"> </w:t>
      </w:r>
      <w:r w:rsidR="00964908">
        <w:rPr>
          <w:b/>
        </w:rPr>
        <w:t>Region</w:t>
      </w:r>
      <w:r w:rsidR="00457359">
        <w:rPr>
          <w:b/>
        </w:rPr>
        <w:t xml:space="preserve"> </w:t>
      </w:r>
      <w:r w:rsidR="003D6458" w:rsidRPr="0089197B">
        <w:rPr>
          <w:b/>
        </w:rPr>
        <w:t xml:space="preserve">– </w:t>
      </w:r>
      <w:r w:rsidR="00EA3396">
        <w:rPr>
          <w:b/>
        </w:rPr>
        <w:t>March</w:t>
      </w:r>
      <w:r w:rsidR="003D6458" w:rsidRPr="0089197B">
        <w:rPr>
          <w:b/>
        </w:rPr>
        <w:t xml:space="preserve"> 2019</w:t>
      </w:r>
    </w:p>
    <w:p w:rsidR="00E8153C" w:rsidRDefault="0082391E">
      <w:r>
        <w:t xml:space="preserve">This plan </w:t>
      </w:r>
      <w:r w:rsidR="00A17922">
        <w:t>outlines</w:t>
      </w:r>
      <w:r w:rsidR="00E8153C">
        <w:t xml:space="preserve"> specific plans for </w:t>
      </w:r>
      <w:r w:rsidR="00A17922">
        <w:t>District Court</w:t>
      </w:r>
      <w:r w:rsidR="00F7166E">
        <w:t xml:space="preserve"> </w:t>
      </w:r>
      <w:r w:rsidR="00E8153C">
        <w:t>services</w:t>
      </w:r>
      <w:r w:rsidR="00F7166E">
        <w:t xml:space="preserve"> in Southern Utah for the next five years</w:t>
      </w:r>
      <w:r w:rsidR="006E70A4">
        <w:t>, and includes a history of development of services in that area</w:t>
      </w:r>
      <w:r w:rsidR="003D6458">
        <w:t>.</w:t>
      </w:r>
      <w:r w:rsidR="00A17922">
        <w:t xml:space="preserve"> </w:t>
      </w:r>
      <w:r w:rsidR="003D6458">
        <w:t xml:space="preserve">It is written </w:t>
      </w:r>
      <w:proofErr w:type="gramStart"/>
      <w:r w:rsidR="003D6458">
        <w:t>in light of</w:t>
      </w:r>
      <w:proofErr w:type="gramEnd"/>
      <w:r w:rsidR="003D6458">
        <w:t xml:space="preserve"> the District of Utah Business Plan adopted in January 2018</w:t>
      </w:r>
      <w:r w:rsidR="00A51CDB">
        <w:t xml:space="preserve">, experience gained in the Southern Region of the </w:t>
      </w:r>
      <w:r w:rsidR="00457359">
        <w:t>court</w:t>
      </w:r>
      <w:r w:rsidR="00A51CDB">
        <w:t>, and</w:t>
      </w:r>
      <w:r w:rsidR="003F0221">
        <w:t xml:space="preserve"> the study attendant to </w:t>
      </w:r>
      <w:r w:rsidR="00D87D74">
        <w:t xml:space="preserve">the drafting of the </w:t>
      </w:r>
      <w:r w:rsidR="00A17922">
        <w:t>[</w:t>
      </w:r>
      <w:r w:rsidR="003F0221">
        <w:t>2018-19</w:t>
      </w:r>
      <w:r w:rsidR="00A17922">
        <w:t xml:space="preserve">] </w:t>
      </w:r>
      <w:r w:rsidR="003F0221">
        <w:t>Long Range Facilities Pla</w:t>
      </w:r>
      <w:r w:rsidR="0002292C">
        <w:t>n</w:t>
      </w:r>
      <w:r w:rsidR="00A17922">
        <w:t xml:space="preserve"> for the District of Utah</w:t>
      </w:r>
      <w:r w:rsidR="0002292C">
        <w:t>.</w:t>
      </w:r>
      <w:r w:rsidR="00A17922">
        <w:t xml:space="preserve"> </w:t>
      </w:r>
      <w:r w:rsidR="0002292C">
        <w:t xml:space="preserve">This Services Plan </w:t>
      </w:r>
      <w:r w:rsidR="008175C2">
        <w:t>may</w:t>
      </w:r>
      <w:r w:rsidR="003D6458">
        <w:t xml:space="preserve"> be </w:t>
      </w:r>
      <w:r w:rsidR="00264897">
        <w:t>reviewed</w:t>
      </w:r>
      <w:r w:rsidR="00A17922">
        <w:t xml:space="preserve"> </w:t>
      </w:r>
      <w:r w:rsidR="003D6458">
        <w:t>annually</w:t>
      </w:r>
      <w:r w:rsidR="001B7072">
        <w:t xml:space="preserve"> by the District Court, Bankruptcy Court and Probation Office</w:t>
      </w:r>
      <w:r w:rsidR="00264897">
        <w:t xml:space="preserve"> and updated as needed</w:t>
      </w:r>
      <w:r w:rsidR="001B7072">
        <w:t>.</w:t>
      </w:r>
      <w:r w:rsidR="00856C7B">
        <w:rPr>
          <w:rStyle w:val="FootnoteReference"/>
        </w:rPr>
        <w:footnoteReference w:id="1"/>
      </w:r>
    </w:p>
    <w:sdt>
      <w:sdtPr>
        <w:rPr>
          <w:rFonts w:asciiTheme="minorHAnsi" w:eastAsiaTheme="minorEastAsia" w:hAnsiTheme="minorHAnsi" w:cstheme="minorBidi"/>
          <w:color w:val="auto"/>
          <w:sz w:val="22"/>
          <w:szCs w:val="22"/>
        </w:rPr>
        <w:id w:val="-840233636"/>
        <w:docPartObj>
          <w:docPartGallery w:val="Table of Contents"/>
          <w:docPartUnique/>
        </w:docPartObj>
      </w:sdtPr>
      <w:sdtEndPr>
        <w:rPr>
          <w:b/>
          <w:bCs/>
          <w:noProof/>
        </w:rPr>
      </w:sdtEndPr>
      <w:sdtContent>
        <w:p w:rsidR="00EA3396" w:rsidRPr="00EA3396" w:rsidRDefault="00EA3396">
          <w:pPr>
            <w:pStyle w:val="TOCHeading"/>
            <w:rPr>
              <w:sz w:val="18"/>
            </w:rPr>
          </w:pPr>
        </w:p>
        <w:p w:rsidR="00EA3396" w:rsidRDefault="00EA3396">
          <w:pPr>
            <w:pStyle w:val="TOC1"/>
            <w:tabs>
              <w:tab w:val="right" w:leader="dot" w:pos="9350"/>
            </w:tabs>
            <w:rPr>
              <w:noProof/>
            </w:rPr>
          </w:pPr>
          <w:r>
            <w:rPr>
              <w:b/>
              <w:bCs/>
              <w:noProof/>
            </w:rPr>
            <w:fldChar w:fldCharType="begin"/>
          </w:r>
          <w:r>
            <w:rPr>
              <w:b/>
              <w:bCs/>
              <w:noProof/>
            </w:rPr>
            <w:instrText xml:space="preserve"> TOC \o "1-3" \h \z \u </w:instrText>
          </w:r>
          <w:r>
            <w:rPr>
              <w:b/>
              <w:bCs/>
              <w:noProof/>
            </w:rPr>
            <w:fldChar w:fldCharType="separate"/>
          </w:r>
          <w:hyperlink w:anchor="_Toc1375333" w:history="1">
            <w:r w:rsidRPr="00146730">
              <w:rPr>
                <w:rStyle w:val="Hyperlink"/>
                <w:noProof/>
              </w:rPr>
              <w:t>Introduction</w:t>
            </w:r>
            <w:r>
              <w:rPr>
                <w:noProof/>
                <w:webHidden/>
              </w:rPr>
              <w:tab/>
            </w:r>
            <w:r>
              <w:rPr>
                <w:noProof/>
                <w:webHidden/>
              </w:rPr>
              <w:fldChar w:fldCharType="begin"/>
            </w:r>
            <w:r>
              <w:rPr>
                <w:noProof/>
                <w:webHidden/>
              </w:rPr>
              <w:instrText xml:space="preserve"> PAGEREF _Toc1375333 \h </w:instrText>
            </w:r>
            <w:r>
              <w:rPr>
                <w:noProof/>
                <w:webHidden/>
              </w:rPr>
            </w:r>
            <w:r>
              <w:rPr>
                <w:noProof/>
                <w:webHidden/>
              </w:rPr>
              <w:fldChar w:fldCharType="separate"/>
            </w:r>
            <w:r w:rsidR="00053CF5">
              <w:rPr>
                <w:noProof/>
                <w:webHidden/>
              </w:rPr>
              <w:t>1</w:t>
            </w:r>
            <w:r>
              <w:rPr>
                <w:noProof/>
                <w:webHidden/>
              </w:rPr>
              <w:fldChar w:fldCharType="end"/>
            </w:r>
          </w:hyperlink>
        </w:p>
        <w:p w:rsidR="00EA3396" w:rsidRDefault="00D3716A">
          <w:pPr>
            <w:pStyle w:val="TOC1"/>
            <w:tabs>
              <w:tab w:val="right" w:leader="dot" w:pos="9350"/>
            </w:tabs>
            <w:rPr>
              <w:noProof/>
            </w:rPr>
          </w:pPr>
          <w:hyperlink w:anchor="_Toc1375334" w:history="1">
            <w:r w:rsidR="00EA3396" w:rsidRPr="00146730">
              <w:rPr>
                <w:rStyle w:val="Hyperlink"/>
                <w:noProof/>
              </w:rPr>
              <w:t>Historical Development of Federal Court Services</w:t>
            </w:r>
            <w:r w:rsidR="00EA3396">
              <w:rPr>
                <w:noProof/>
                <w:webHidden/>
              </w:rPr>
              <w:tab/>
            </w:r>
            <w:r w:rsidR="00EA3396">
              <w:rPr>
                <w:noProof/>
                <w:webHidden/>
              </w:rPr>
              <w:fldChar w:fldCharType="begin"/>
            </w:r>
            <w:r w:rsidR="00EA3396">
              <w:rPr>
                <w:noProof/>
                <w:webHidden/>
              </w:rPr>
              <w:instrText xml:space="preserve"> PAGEREF _Toc1375334 \h </w:instrText>
            </w:r>
            <w:r w:rsidR="00EA3396">
              <w:rPr>
                <w:noProof/>
                <w:webHidden/>
              </w:rPr>
            </w:r>
            <w:r w:rsidR="00EA3396">
              <w:rPr>
                <w:noProof/>
                <w:webHidden/>
              </w:rPr>
              <w:fldChar w:fldCharType="separate"/>
            </w:r>
            <w:r w:rsidR="00053CF5">
              <w:rPr>
                <w:noProof/>
                <w:webHidden/>
              </w:rPr>
              <w:t>1</w:t>
            </w:r>
            <w:r w:rsidR="00EA3396">
              <w:rPr>
                <w:noProof/>
                <w:webHidden/>
              </w:rPr>
              <w:fldChar w:fldCharType="end"/>
            </w:r>
          </w:hyperlink>
        </w:p>
        <w:p w:rsidR="00EA3396" w:rsidRDefault="00D3716A">
          <w:pPr>
            <w:pStyle w:val="TOC1"/>
            <w:tabs>
              <w:tab w:val="right" w:leader="dot" w:pos="9350"/>
            </w:tabs>
            <w:rPr>
              <w:noProof/>
            </w:rPr>
          </w:pPr>
          <w:hyperlink w:anchor="_Toc1375335" w:history="1">
            <w:r w:rsidR="00EA3396" w:rsidRPr="00146730">
              <w:rPr>
                <w:rStyle w:val="Hyperlink"/>
                <w:noProof/>
              </w:rPr>
              <w:t>Other Federal Court Agencies</w:t>
            </w:r>
            <w:r w:rsidR="00EA3396">
              <w:rPr>
                <w:noProof/>
                <w:webHidden/>
              </w:rPr>
              <w:tab/>
            </w:r>
            <w:r w:rsidR="00EA3396">
              <w:rPr>
                <w:noProof/>
                <w:webHidden/>
              </w:rPr>
              <w:fldChar w:fldCharType="begin"/>
            </w:r>
            <w:r w:rsidR="00EA3396">
              <w:rPr>
                <w:noProof/>
                <w:webHidden/>
              </w:rPr>
              <w:instrText xml:space="preserve"> PAGEREF _Toc1375335 \h </w:instrText>
            </w:r>
            <w:r w:rsidR="00EA3396">
              <w:rPr>
                <w:noProof/>
                <w:webHidden/>
              </w:rPr>
            </w:r>
            <w:r w:rsidR="00EA3396">
              <w:rPr>
                <w:noProof/>
                <w:webHidden/>
              </w:rPr>
              <w:fldChar w:fldCharType="separate"/>
            </w:r>
            <w:r w:rsidR="00053CF5">
              <w:rPr>
                <w:noProof/>
                <w:webHidden/>
              </w:rPr>
              <w:t>2</w:t>
            </w:r>
            <w:r w:rsidR="00EA3396">
              <w:rPr>
                <w:noProof/>
                <w:webHidden/>
              </w:rPr>
              <w:fldChar w:fldCharType="end"/>
            </w:r>
          </w:hyperlink>
        </w:p>
        <w:p w:rsidR="00EA3396" w:rsidRDefault="00D3716A">
          <w:pPr>
            <w:pStyle w:val="TOC1"/>
            <w:tabs>
              <w:tab w:val="right" w:leader="dot" w:pos="9350"/>
            </w:tabs>
            <w:rPr>
              <w:noProof/>
            </w:rPr>
          </w:pPr>
          <w:hyperlink w:anchor="_Toc1375336" w:history="1">
            <w:r w:rsidR="00EA3396" w:rsidRPr="00146730">
              <w:rPr>
                <w:rStyle w:val="Hyperlink"/>
                <w:noProof/>
              </w:rPr>
              <w:t>2018 Changes</w:t>
            </w:r>
            <w:r w:rsidR="00EA3396">
              <w:rPr>
                <w:noProof/>
                <w:webHidden/>
              </w:rPr>
              <w:tab/>
            </w:r>
            <w:r w:rsidR="00EA3396">
              <w:rPr>
                <w:noProof/>
                <w:webHidden/>
              </w:rPr>
              <w:fldChar w:fldCharType="begin"/>
            </w:r>
            <w:r w:rsidR="00EA3396">
              <w:rPr>
                <w:noProof/>
                <w:webHidden/>
              </w:rPr>
              <w:instrText xml:space="preserve"> PAGEREF _Toc1375336 \h </w:instrText>
            </w:r>
            <w:r w:rsidR="00EA3396">
              <w:rPr>
                <w:noProof/>
                <w:webHidden/>
              </w:rPr>
            </w:r>
            <w:r w:rsidR="00EA3396">
              <w:rPr>
                <w:noProof/>
                <w:webHidden/>
              </w:rPr>
              <w:fldChar w:fldCharType="separate"/>
            </w:r>
            <w:r w:rsidR="00053CF5">
              <w:rPr>
                <w:noProof/>
                <w:webHidden/>
              </w:rPr>
              <w:t>3</w:t>
            </w:r>
            <w:r w:rsidR="00EA3396">
              <w:rPr>
                <w:noProof/>
                <w:webHidden/>
              </w:rPr>
              <w:fldChar w:fldCharType="end"/>
            </w:r>
          </w:hyperlink>
        </w:p>
        <w:p w:rsidR="00EA3396" w:rsidRDefault="00D3716A">
          <w:pPr>
            <w:pStyle w:val="TOC1"/>
            <w:tabs>
              <w:tab w:val="right" w:leader="dot" w:pos="9350"/>
            </w:tabs>
            <w:rPr>
              <w:noProof/>
            </w:rPr>
          </w:pPr>
          <w:hyperlink w:anchor="_Toc1375337" w:history="1">
            <w:r w:rsidR="00EA3396" w:rsidRPr="00146730">
              <w:rPr>
                <w:rStyle w:val="Hyperlink"/>
                <w:noProof/>
              </w:rPr>
              <w:t>Future Changes Within the Five-Year Services Plan:</w:t>
            </w:r>
            <w:r w:rsidR="00EA3396">
              <w:rPr>
                <w:noProof/>
                <w:webHidden/>
              </w:rPr>
              <w:tab/>
            </w:r>
            <w:r w:rsidR="00EA3396">
              <w:rPr>
                <w:noProof/>
                <w:webHidden/>
              </w:rPr>
              <w:fldChar w:fldCharType="begin"/>
            </w:r>
            <w:r w:rsidR="00EA3396">
              <w:rPr>
                <w:noProof/>
                <w:webHidden/>
              </w:rPr>
              <w:instrText xml:space="preserve"> PAGEREF _Toc1375337 \h </w:instrText>
            </w:r>
            <w:r w:rsidR="00EA3396">
              <w:rPr>
                <w:noProof/>
                <w:webHidden/>
              </w:rPr>
            </w:r>
            <w:r w:rsidR="00EA3396">
              <w:rPr>
                <w:noProof/>
                <w:webHidden/>
              </w:rPr>
              <w:fldChar w:fldCharType="separate"/>
            </w:r>
            <w:r w:rsidR="00053CF5">
              <w:rPr>
                <w:noProof/>
                <w:webHidden/>
              </w:rPr>
              <w:t>4</w:t>
            </w:r>
            <w:r w:rsidR="00EA3396">
              <w:rPr>
                <w:noProof/>
                <w:webHidden/>
              </w:rPr>
              <w:fldChar w:fldCharType="end"/>
            </w:r>
          </w:hyperlink>
        </w:p>
        <w:p w:rsidR="00EA3396" w:rsidRDefault="00D3716A">
          <w:pPr>
            <w:pStyle w:val="TOC1"/>
            <w:tabs>
              <w:tab w:val="right" w:leader="dot" w:pos="9350"/>
            </w:tabs>
            <w:rPr>
              <w:noProof/>
            </w:rPr>
          </w:pPr>
          <w:hyperlink w:anchor="_Toc1375338" w:history="1">
            <w:r w:rsidR="00EA3396" w:rsidRPr="00146730">
              <w:rPr>
                <w:rStyle w:val="Hyperlink"/>
                <w:noProof/>
              </w:rPr>
              <w:t>Limitations on Services and Expansion of Services</w:t>
            </w:r>
            <w:r w:rsidR="00EA3396">
              <w:rPr>
                <w:noProof/>
                <w:webHidden/>
              </w:rPr>
              <w:tab/>
            </w:r>
            <w:r w:rsidR="00EA3396">
              <w:rPr>
                <w:noProof/>
                <w:webHidden/>
              </w:rPr>
              <w:fldChar w:fldCharType="begin"/>
            </w:r>
            <w:r w:rsidR="00EA3396">
              <w:rPr>
                <w:noProof/>
                <w:webHidden/>
              </w:rPr>
              <w:instrText xml:space="preserve"> PAGEREF _Toc1375338 \h </w:instrText>
            </w:r>
            <w:r w:rsidR="00EA3396">
              <w:rPr>
                <w:noProof/>
                <w:webHidden/>
              </w:rPr>
            </w:r>
            <w:r w:rsidR="00EA3396">
              <w:rPr>
                <w:noProof/>
                <w:webHidden/>
              </w:rPr>
              <w:fldChar w:fldCharType="separate"/>
            </w:r>
            <w:r w:rsidR="00053CF5">
              <w:rPr>
                <w:noProof/>
                <w:webHidden/>
              </w:rPr>
              <w:t>5</w:t>
            </w:r>
            <w:r w:rsidR="00EA3396">
              <w:rPr>
                <w:noProof/>
                <w:webHidden/>
              </w:rPr>
              <w:fldChar w:fldCharType="end"/>
            </w:r>
          </w:hyperlink>
        </w:p>
        <w:p w:rsidR="00EA3396" w:rsidRDefault="00D3716A">
          <w:pPr>
            <w:pStyle w:val="TOC1"/>
            <w:tabs>
              <w:tab w:val="right" w:leader="dot" w:pos="9350"/>
            </w:tabs>
            <w:rPr>
              <w:noProof/>
            </w:rPr>
          </w:pPr>
          <w:hyperlink w:anchor="_Toc1375339" w:history="1">
            <w:r w:rsidR="00EA3396" w:rsidRPr="00146730">
              <w:rPr>
                <w:rStyle w:val="Hyperlink"/>
                <w:noProof/>
              </w:rPr>
              <w:t>Conclusion</w:t>
            </w:r>
            <w:r w:rsidR="00EA3396">
              <w:rPr>
                <w:noProof/>
                <w:webHidden/>
              </w:rPr>
              <w:tab/>
            </w:r>
            <w:r w:rsidR="00EA3396">
              <w:rPr>
                <w:noProof/>
                <w:webHidden/>
              </w:rPr>
              <w:fldChar w:fldCharType="begin"/>
            </w:r>
            <w:r w:rsidR="00EA3396">
              <w:rPr>
                <w:noProof/>
                <w:webHidden/>
              </w:rPr>
              <w:instrText xml:space="preserve"> PAGEREF _Toc1375339 \h </w:instrText>
            </w:r>
            <w:r w:rsidR="00EA3396">
              <w:rPr>
                <w:noProof/>
                <w:webHidden/>
              </w:rPr>
            </w:r>
            <w:r w:rsidR="00EA3396">
              <w:rPr>
                <w:noProof/>
                <w:webHidden/>
              </w:rPr>
              <w:fldChar w:fldCharType="separate"/>
            </w:r>
            <w:r w:rsidR="00053CF5">
              <w:rPr>
                <w:noProof/>
                <w:webHidden/>
              </w:rPr>
              <w:t>6</w:t>
            </w:r>
            <w:r w:rsidR="00EA3396">
              <w:rPr>
                <w:noProof/>
                <w:webHidden/>
              </w:rPr>
              <w:fldChar w:fldCharType="end"/>
            </w:r>
          </w:hyperlink>
        </w:p>
        <w:p w:rsidR="00EA3396" w:rsidRDefault="00EA3396">
          <w:r>
            <w:rPr>
              <w:b/>
              <w:bCs/>
              <w:noProof/>
            </w:rPr>
            <w:fldChar w:fldCharType="end"/>
          </w:r>
        </w:p>
      </w:sdtContent>
    </w:sdt>
    <w:p w:rsidR="00A522C5" w:rsidRPr="009A0FE5" w:rsidRDefault="00A17922" w:rsidP="00EA3396">
      <w:pPr>
        <w:pStyle w:val="Heading1"/>
      </w:pPr>
      <w:bookmarkStart w:id="0" w:name="_Toc1375333"/>
      <w:r>
        <w:rPr>
          <w:noProof/>
        </w:rPr>
        <w:drawing>
          <wp:anchor distT="0" distB="0" distL="114300" distR="114300" simplePos="0" relativeHeight="251658240" behindDoc="1" locked="0" layoutInCell="1" allowOverlap="1" wp14:anchorId="5FA1294D" wp14:editId="64497FC4">
            <wp:simplePos x="0" y="0"/>
            <wp:positionH relativeFrom="column">
              <wp:posOffset>3722033</wp:posOffset>
            </wp:positionH>
            <wp:positionV relativeFrom="paragraph">
              <wp:posOffset>70017</wp:posOffset>
            </wp:positionV>
            <wp:extent cx="2484489" cy="3028598"/>
            <wp:effectExtent l="0" t="0" r="0" b="635"/>
            <wp:wrapTight wrapText="bothSides">
              <wp:wrapPolygon edited="0">
                <wp:start x="0" y="0"/>
                <wp:lineTo x="0" y="21469"/>
                <wp:lineTo x="21368" y="21469"/>
                <wp:lineTo x="2136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84489" cy="3028598"/>
                    </a:xfrm>
                    <a:prstGeom prst="rect">
                      <a:avLst/>
                    </a:prstGeom>
                    <a:noFill/>
                    <a:ln>
                      <a:noFill/>
                    </a:ln>
                  </pic:spPr>
                </pic:pic>
              </a:graphicData>
            </a:graphic>
            <wp14:sizeRelH relativeFrom="page">
              <wp14:pctWidth>0</wp14:pctWidth>
            </wp14:sizeRelH>
            <wp14:sizeRelV relativeFrom="page">
              <wp14:pctHeight>0</wp14:pctHeight>
            </wp14:sizeRelV>
          </wp:anchor>
        </w:drawing>
      </w:r>
      <w:r w:rsidR="00A522C5" w:rsidRPr="009A0FE5">
        <w:t>Introduction</w:t>
      </w:r>
      <w:bookmarkEnd w:id="0"/>
      <w:r w:rsidR="00A522C5" w:rsidRPr="009A0FE5">
        <w:t xml:space="preserve"> </w:t>
      </w:r>
    </w:p>
    <w:p w:rsidR="00116E3E" w:rsidRDefault="00676F17">
      <w:r>
        <w:rPr>
          <w:noProof/>
        </w:rPr>
        <mc:AlternateContent>
          <mc:Choice Requires="wps">
            <w:drawing>
              <wp:anchor distT="45720" distB="45720" distL="114300" distR="114300" simplePos="0" relativeHeight="251660288" behindDoc="0" locked="0" layoutInCell="1" allowOverlap="1" wp14:anchorId="4DD8EB22" wp14:editId="55621E69">
                <wp:simplePos x="0" y="0"/>
                <wp:positionH relativeFrom="column">
                  <wp:posOffset>4351182</wp:posOffset>
                </wp:positionH>
                <wp:positionV relativeFrom="paragraph">
                  <wp:posOffset>445135</wp:posOffset>
                </wp:positionV>
                <wp:extent cx="979170" cy="26543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9170" cy="265430"/>
                        </a:xfrm>
                        <a:prstGeom prst="rect">
                          <a:avLst/>
                        </a:prstGeom>
                        <a:noFill/>
                        <a:ln w="9525">
                          <a:noFill/>
                          <a:miter lim="800000"/>
                          <a:headEnd/>
                          <a:tailEnd/>
                        </a:ln>
                      </wps:spPr>
                      <wps:txbx>
                        <w:txbxContent>
                          <w:p w:rsidR="00676F17" w:rsidRDefault="00676F17">
                            <w:r>
                              <w:t>Salt Lake City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D8EB22" id="_x0000_t202" coordsize="21600,21600" o:spt="202" path="m,l,21600r21600,l21600,xe">
                <v:stroke joinstyle="miter"/>
                <v:path gradientshapeok="t" o:connecttype="rect"/>
              </v:shapetype>
              <v:shape id="Text Box 2" o:spid="_x0000_s1026" type="#_x0000_t202" style="position:absolute;margin-left:342.6pt;margin-top:35.05pt;width:77.1pt;height:20.9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" filled="f" stroked="f">
                <v:textbox>
                  <w:txbxContent>
                    <w:p w:rsidR="00676F17" w:rsidRDefault="00676F17">
                      <w:r>
                        <w:t>Salt Lake City</w:t>
                      </w:r>
                    </w:p>
                  </w:txbxContent>
                </v:textbox>
              </v:shape>
            </w:pict>
          </mc:Fallback>
        </mc:AlternateContent>
      </w:r>
      <w:r w:rsidR="001B7072">
        <w:t xml:space="preserve">The Southern Utah area </w:t>
      </w:r>
      <w:r w:rsidR="00116E3E">
        <w:t>population center is St. George, 300 miles</w:t>
      </w:r>
      <w:r w:rsidR="00647045">
        <w:t xml:space="preserve"> from </w:t>
      </w:r>
      <w:r w:rsidR="008860ED">
        <w:t>Salt Lake City</w:t>
      </w:r>
      <w:r w:rsidR="00A51CDB">
        <w:t xml:space="preserve">. </w:t>
      </w:r>
      <w:r w:rsidR="00116E3E">
        <w:t xml:space="preserve">The significant economic, political, and cultural differences of the Southern </w:t>
      </w:r>
      <w:r w:rsidR="00F55895">
        <w:t xml:space="preserve">Region </w:t>
      </w:r>
      <w:r w:rsidR="00116E3E">
        <w:t>add to a sense of distinction — and isolation —</w:t>
      </w:r>
      <w:r w:rsidR="00457359">
        <w:t xml:space="preserve"> </w:t>
      </w:r>
      <w:r w:rsidR="00116E3E">
        <w:t xml:space="preserve">for the citizens in that area. </w:t>
      </w:r>
      <w:r w:rsidR="006E70A4">
        <w:t>St. George is the fastest growing metropolitan area in the United States. Its population is now twelve times great</w:t>
      </w:r>
      <w:r w:rsidR="00457359">
        <w:t>er</w:t>
      </w:r>
      <w:r w:rsidR="006E70A4">
        <w:t xml:space="preserve"> than it was in 1970. The Southern Region has been served primarily as a remote rather than resident location.</w:t>
      </w:r>
    </w:p>
    <w:p w:rsidR="006E70A4" w:rsidRPr="006E70A4" w:rsidRDefault="006E70A4" w:rsidP="00EA3396">
      <w:pPr>
        <w:pStyle w:val="Heading1"/>
      </w:pPr>
      <w:bookmarkStart w:id="1" w:name="_Toc1375334"/>
      <w:r w:rsidRPr="006E70A4">
        <w:t>Historical Development of Federal Court Services</w:t>
      </w:r>
      <w:bookmarkEnd w:id="1"/>
    </w:p>
    <w:p w:rsidR="000A5D5E" w:rsidRDefault="00116E3E">
      <w:r>
        <w:t>Significant</w:t>
      </w:r>
      <w:r w:rsidR="000A5D5E">
        <w:t xml:space="preserve"> resident </w:t>
      </w:r>
      <w:r w:rsidR="00A1605A">
        <w:t xml:space="preserve">court </w:t>
      </w:r>
      <w:r w:rsidR="000A5D5E">
        <w:t>service</w:t>
      </w:r>
      <w:r w:rsidR="00C159B6">
        <w:t>s</w:t>
      </w:r>
      <w:r w:rsidR="000A5D5E">
        <w:t xml:space="preserve"> ha</w:t>
      </w:r>
      <w:r w:rsidR="00C159B6">
        <w:t>ve</w:t>
      </w:r>
      <w:r w:rsidR="000A5D5E">
        <w:t xml:space="preserve"> </w:t>
      </w:r>
      <w:r>
        <w:t xml:space="preserve">already </w:t>
      </w:r>
      <w:r w:rsidR="000A5D5E">
        <w:t xml:space="preserve">been established </w:t>
      </w:r>
      <w:r>
        <w:t>in St. George</w:t>
      </w:r>
      <w:r w:rsidR="000A5D5E">
        <w:t>:</w:t>
      </w:r>
    </w:p>
    <w:p w:rsidR="00A1605A" w:rsidRDefault="00116E3E" w:rsidP="00A1605A">
      <w:pPr>
        <w:ind w:left="720"/>
      </w:pPr>
      <w:r>
        <w:rPr>
          <w:noProof/>
        </w:rPr>
        <mc:AlternateContent>
          <mc:Choice Requires="wps">
            <w:drawing>
              <wp:anchor distT="45720" distB="45720" distL="114300" distR="114300" simplePos="0" relativeHeight="251662336" behindDoc="0" locked="0" layoutInCell="1" allowOverlap="1" wp14:anchorId="73FB5405" wp14:editId="6F4F60E2">
                <wp:simplePos x="0" y="0"/>
                <wp:positionH relativeFrom="column">
                  <wp:posOffset>3711763</wp:posOffset>
                </wp:positionH>
                <wp:positionV relativeFrom="paragraph">
                  <wp:posOffset>196188</wp:posOffset>
                </wp:positionV>
                <wp:extent cx="979170" cy="265430"/>
                <wp:effectExtent l="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9170" cy="265430"/>
                        </a:xfrm>
                        <a:prstGeom prst="rect">
                          <a:avLst/>
                        </a:prstGeom>
                        <a:noFill/>
                        <a:ln w="9525">
                          <a:noFill/>
                          <a:miter lim="800000"/>
                          <a:headEnd/>
                          <a:tailEnd/>
                        </a:ln>
                      </wps:spPr>
                      <wps:txbx>
                        <w:txbxContent>
                          <w:p w:rsidR="00676F17" w:rsidRDefault="00676F17">
                            <w:r>
                              <w:t>St. George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FB5405" id="_x0000_s1027" type="#_x0000_t202" style="position:absolute;left:0;text-align:left;margin-left:292.25pt;margin-top:15.45pt;width:77.1pt;height:20.9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" filled="f" stroked="f">
                <v:textbox>
                  <w:txbxContent>
                    <w:p w:rsidR="00676F17" w:rsidRDefault="00676F17">
                      <w:r>
                        <w:t>St. George</w:t>
                      </w:r>
                    </w:p>
                  </w:txbxContent>
                </v:textbox>
              </v:shape>
            </w:pict>
          </mc:Fallback>
        </mc:AlternateContent>
      </w:r>
      <w:r w:rsidR="00A4732C">
        <w:t xml:space="preserve">1995 – </w:t>
      </w:r>
      <w:r w:rsidR="00A1605A">
        <w:t xml:space="preserve">Part-time Magistrate Judge </w:t>
      </w:r>
      <w:r w:rsidR="00B27459">
        <w:t>began</w:t>
      </w:r>
      <w:r w:rsidR="00A1605A">
        <w:t xml:space="preserve"> hearing misdemeanor and petty offense matters</w:t>
      </w:r>
      <w:r w:rsidR="00BC4DC2">
        <w:t xml:space="preserve"> in St. George</w:t>
      </w:r>
      <w:r w:rsidR="00B27459">
        <w:t>.</w:t>
      </w:r>
    </w:p>
    <w:p w:rsidR="000A5D5E" w:rsidRDefault="00A4732C" w:rsidP="00A76890">
      <w:pPr>
        <w:ind w:left="720"/>
      </w:pPr>
      <w:r>
        <w:t>1995 – A resident p</w:t>
      </w:r>
      <w:r w:rsidR="000A5D5E">
        <w:t>robation officer</w:t>
      </w:r>
      <w:r>
        <w:t xml:space="preserve"> </w:t>
      </w:r>
      <w:r w:rsidR="00116E3E">
        <w:t>came</w:t>
      </w:r>
      <w:r>
        <w:t xml:space="preserve"> to the area, which has </w:t>
      </w:r>
      <w:r w:rsidR="00A410A0">
        <w:t xml:space="preserve">increased to </w:t>
      </w:r>
      <w:r w:rsidR="00A17922">
        <w:t xml:space="preserve">the </w:t>
      </w:r>
      <w:r w:rsidR="00A410A0">
        <w:t xml:space="preserve">present staff of </w:t>
      </w:r>
      <w:r w:rsidR="00A17922">
        <w:t>4 officers</w:t>
      </w:r>
      <w:r w:rsidR="0089197B">
        <w:t xml:space="preserve"> </w:t>
      </w:r>
      <w:r w:rsidR="00A17922">
        <w:t>(</w:t>
      </w:r>
      <w:r w:rsidR="0089197B">
        <w:t>including a supervisor</w:t>
      </w:r>
      <w:r w:rsidR="00A17922">
        <w:t>) and one support staff</w:t>
      </w:r>
      <w:r w:rsidR="00B27459">
        <w:t>.</w:t>
      </w:r>
    </w:p>
    <w:p w:rsidR="00BC4DC2" w:rsidRDefault="00BC4DC2" w:rsidP="00A76890">
      <w:pPr>
        <w:ind w:left="720"/>
      </w:pPr>
      <w:r>
        <w:t>1996 – The first federal jury trial was held in St. George.</w:t>
      </w:r>
    </w:p>
    <w:p w:rsidR="00A4732C" w:rsidRDefault="00A4732C" w:rsidP="00A76890">
      <w:pPr>
        <w:ind w:left="720"/>
      </w:pPr>
      <w:r>
        <w:lastRenderedPageBreak/>
        <w:t xml:space="preserve">1998 – The </w:t>
      </w:r>
      <w:r w:rsidR="00457359">
        <w:t>part-</w:t>
      </w:r>
      <w:r>
        <w:t xml:space="preserve">time </w:t>
      </w:r>
      <w:r w:rsidR="00457359">
        <w:t xml:space="preserve">Magistrate Judge </w:t>
      </w:r>
      <w:r w:rsidR="00B27459">
        <w:t>began</w:t>
      </w:r>
      <w:r>
        <w:t xml:space="preserve"> handling Class A misdemeanor cases </w:t>
      </w:r>
      <w:r w:rsidR="00B27459">
        <w:t>when</w:t>
      </w:r>
      <w:r>
        <w:t xml:space="preserve"> local Special Assistant U</w:t>
      </w:r>
      <w:r w:rsidR="00457359">
        <w:t xml:space="preserve">nited </w:t>
      </w:r>
      <w:r>
        <w:t>S</w:t>
      </w:r>
      <w:r w:rsidR="00457359">
        <w:t>tates</w:t>
      </w:r>
      <w:r>
        <w:t xml:space="preserve"> Attorneys </w:t>
      </w:r>
      <w:r w:rsidR="00B27459">
        <w:t>we</w:t>
      </w:r>
      <w:r>
        <w:t xml:space="preserve">re appointed, </w:t>
      </w:r>
      <w:proofErr w:type="gramStart"/>
      <w:r>
        <w:t>and also</w:t>
      </w:r>
      <w:proofErr w:type="gramEnd"/>
      <w:r>
        <w:t xml:space="preserve"> </w:t>
      </w:r>
      <w:r w:rsidR="00B27459">
        <w:t>started to handle</w:t>
      </w:r>
      <w:r>
        <w:t xml:space="preserve"> felony warrants and search warrants</w:t>
      </w:r>
      <w:r w:rsidR="00B27459">
        <w:t>.</w:t>
      </w:r>
    </w:p>
    <w:p w:rsidR="00C800B1" w:rsidRDefault="00C800B1" w:rsidP="00C800B1">
      <w:pPr>
        <w:ind w:left="720"/>
      </w:pPr>
      <w:r>
        <w:t>1998 – The US Trustee began holding 341 hearings in leased space in St. George.</w:t>
      </w:r>
    </w:p>
    <w:p w:rsidR="00D87D74" w:rsidRDefault="00A4732C" w:rsidP="00A76890">
      <w:pPr>
        <w:ind w:left="720"/>
      </w:pPr>
      <w:r>
        <w:t>2002 – A v</w:t>
      </w:r>
      <w:r w:rsidR="00D87D74">
        <w:t xml:space="preserve">isiting Bankruptcy Judge </w:t>
      </w:r>
      <w:r>
        <w:t>beg</w:t>
      </w:r>
      <w:r w:rsidR="00B27459">
        <w:t>an</w:t>
      </w:r>
      <w:r w:rsidR="00A1605A">
        <w:t xml:space="preserve"> holding</w:t>
      </w:r>
      <w:r w:rsidR="00D87D74">
        <w:t xml:space="preserve"> hearings and adversary proceedings (2004)</w:t>
      </w:r>
      <w:r w:rsidR="008C3D77">
        <w:t>.</w:t>
      </w:r>
    </w:p>
    <w:p w:rsidR="00676F17" w:rsidRDefault="00A4732C" w:rsidP="000C512F">
      <w:pPr>
        <w:ind w:left="720"/>
      </w:pPr>
      <w:r>
        <w:t xml:space="preserve">2003 – The </w:t>
      </w:r>
      <w:r w:rsidR="00676F17">
        <w:t>Southern Utah CJA Panel was established</w:t>
      </w:r>
      <w:r>
        <w:t>, now</w:t>
      </w:r>
      <w:r w:rsidR="00676F17">
        <w:t xml:space="preserve"> consist</w:t>
      </w:r>
      <w:r>
        <w:t>ing</w:t>
      </w:r>
      <w:r w:rsidR="00676F17">
        <w:t xml:space="preserve"> of </w:t>
      </w:r>
      <w:r w:rsidR="00F13B94">
        <w:t xml:space="preserve">five </w:t>
      </w:r>
      <w:r w:rsidR="00676F17">
        <w:t>attorneys.</w:t>
      </w:r>
    </w:p>
    <w:p w:rsidR="00587D31" w:rsidRDefault="00A4732C" w:rsidP="000C512F">
      <w:pPr>
        <w:ind w:left="720"/>
      </w:pPr>
      <w:r>
        <w:t xml:space="preserve">2004 – </w:t>
      </w:r>
      <w:r w:rsidR="00676F17">
        <w:t xml:space="preserve">A </w:t>
      </w:r>
      <w:r>
        <w:t>full-time</w:t>
      </w:r>
      <w:r w:rsidR="00587D31">
        <w:t xml:space="preserve"> courtroom deputy </w:t>
      </w:r>
      <w:r w:rsidR="00B27459">
        <w:t>wa</w:t>
      </w:r>
      <w:r>
        <w:t>s</w:t>
      </w:r>
      <w:r w:rsidR="00A1605A">
        <w:t xml:space="preserve"> employed </w:t>
      </w:r>
      <w:r w:rsidR="00B27459">
        <w:t xml:space="preserve">to serve the </w:t>
      </w:r>
      <w:r w:rsidR="006E70A4">
        <w:t xml:space="preserve">part-time </w:t>
      </w:r>
      <w:r w:rsidR="00457359">
        <w:t xml:space="preserve">Magistrate Judge </w:t>
      </w:r>
      <w:r w:rsidR="00B27459">
        <w:t xml:space="preserve">and </w:t>
      </w:r>
      <w:r w:rsidR="006E70A4">
        <w:t xml:space="preserve">visiting </w:t>
      </w:r>
      <w:r w:rsidR="00B27459">
        <w:t>bankruptcy judge.</w:t>
      </w:r>
    </w:p>
    <w:p w:rsidR="00C445D1" w:rsidRDefault="00A4732C" w:rsidP="00A76890">
      <w:pPr>
        <w:ind w:left="720"/>
      </w:pPr>
      <w:r>
        <w:t xml:space="preserve">2006 – </w:t>
      </w:r>
      <w:r w:rsidR="00A1605A">
        <w:t xml:space="preserve">The </w:t>
      </w:r>
      <w:r w:rsidR="00B27459">
        <w:t xml:space="preserve">first </w:t>
      </w:r>
      <w:r w:rsidR="00A1605A">
        <w:t>a</w:t>
      </w:r>
      <w:r w:rsidR="000F7C57">
        <w:t>nnual</w:t>
      </w:r>
      <w:r w:rsidR="00C445D1">
        <w:t xml:space="preserve"> Southern Utah Federal Law Symposium </w:t>
      </w:r>
      <w:r w:rsidR="00A17922">
        <w:t>sponsored by the Federal Bar Association</w:t>
      </w:r>
      <w:r w:rsidR="00B27459">
        <w:t>.</w:t>
      </w:r>
    </w:p>
    <w:p w:rsidR="00A4732C" w:rsidRDefault="00A4732C" w:rsidP="00A76890">
      <w:pPr>
        <w:ind w:left="720"/>
      </w:pPr>
      <w:r>
        <w:t xml:space="preserve">2009 – </w:t>
      </w:r>
      <w:r w:rsidR="001F3860">
        <w:t>T</w:t>
      </w:r>
      <w:r>
        <w:t xml:space="preserve">he part-time </w:t>
      </w:r>
      <w:r w:rsidR="00457359">
        <w:t xml:space="preserve">Magistrate Judge </w:t>
      </w:r>
      <w:r>
        <w:t>beg</w:t>
      </w:r>
      <w:r w:rsidR="00B27459">
        <w:t>an</w:t>
      </w:r>
      <w:r>
        <w:t xml:space="preserve"> hearing preliminary felony matters</w:t>
      </w:r>
      <w:r w:rsidR="001F3860">
        <w:t>, including taking guilty pleas</w:t>
      </w:r>
      <w:r w:rsidR="00B27459">
        <w:t>.</w:t>
      </w:r>
    </w:p>
    <w:p w:rsidR="00F2468E" w:rsidRDefault="00F2468E" w:rsidP="00A76890">
      <w:pPr>
        <w:ind w:left="720"/>
      </w:pPr>
      <w:r>
        <w:t>2010 – The state court lease</w:t>
      </w:r>
      <w:r w:rsidR="00B27459">
        <w:t>d</w:t>
      </w:r>
      <w:r>
        <w:t xml:space="preserve"> offices and a courtroom </w:t>
      </w:r>
      <w:r w:rsidR="00872584">
        <w:t xml:space="preserve">(on a daily </w:t>
      </w:r>
      <w:r w:rsidR="006E70A4">
        <w:t>rental</w:t>
      </w:r>
      <w:r w:rsidR="00872584">
        <w:t xml:space="preserve">) </w:t>
      </w:r>
      <w:r>
        <w:t xml:space="preserve">to the </w:t>
      </w:r>
      <w:r w:rsidR="00B27459">
        <w:t>Federal</w:t>
      </w:r>
      <w:r>
        <w:t xml:space="preserve"> Court</w:t>
      </w:r>
      <w:r w:rsidR="00B27459">
        <w:t>.</w:t>
      </w:r>
    </w:p>
    <w:p w:rsidR="006942F8" w:rsidRDefault="00F2468E" w:rsidP="00A76890">
      <w:pPr>
        <w:ind w:left="720"/>
      </w:pPr>
      <w:r>
        <w:t>2010</w:t>
      </w:r>
      <w:r w:rsidR="00A4732C">
        <w:t xml:space="preserve"> – </w:t>
      </w:r>
      <w:r w:rsidR="006942F8">
        <w:t xml:space="preserve">Felony cases </w:t>
      </w:r>
      <w:r w:rsidR="00B27459">
        <w:t>started to be</w:t>
      </w:r>
      <w:r w:rsidR="006942F8">
        <w:t xml:space="preserve"> assigned to a single </w:t>
      </w:r>
      <w:r w:rsidR="00457359">
        <w:t xml:space="preserve">District Judge </w:t>
      </w:r>
      <w:r w:rsidR="006942F8">
        <w:t>who conduct</w:t>
      </w:r>
      <w:r w:rsidR="006E70A4">
        <w:t>s</w:t>
      </w:r>
      <w:r w:rsidR="006942F8">
        <w:t xml:space="preserve"> sentencing hearings and trials in St. George.</w:t>
      </w:r>
    </w:p>
    <w:p w:rsidR="00F37876" w:rsidRDefault="00F37876">
      <w:r>
        <w:t xml:space="preserve">These </w:t>
      </w:r>
      <w:r w:rsidR="006E70A4">
        <w:t xml:space="preserve">regular </w:t>
      </w:r>
      <w:r>
        <w:t>services have been supplemented by</w:t>
      </w:r>
      <w:r w:rsidR="00A17922">
        <w:t xml:space="preserve"> occasional services in St. George and in other areas in the Southern Region</w:t>
      </w:r>
      <w:r>
        <w:t>:</w:t>
      </w:r>
    </w:p>
    <w:p w:rsidR="00F37876" w:rsidRDefault="00F37876" w:rsidP="008442BD">
      <w:pPr>
        <w:ind w:left="720"/>
      </w:pPr>
      <w:r>
        <w:t xml:space="preserve">Visiting courtroom deputies substitute </w:t>
      </w:r>
      <w:r w:rsidR="001F3860">
        <w:t xml:space="preserve">in St. George </w:t>
      </w:r>
      <w:r>
        <w:t>when the current courtroom deputy was out on personal or sick leave.</w:t>
      </w:r>
    </w:p>
    <w:p w:rsidR="00F37876" w:rsidRDefault="00F37876" w:rsidP="008442BD">
      <w:pPr>
        <w:ind w:left="720"/>
      </w:pPr>
      <w:r>
        <w:t xml:space="preserve">Court reporters travel to St. George for felony proceedings including evidentiary hearings, pretrials and trials. </w:t>
      </w:r>
    </w:p>
    <w:p w:rsidR="00F37876" w:rsidRDefault="00F37876" w:rsidP="008442BD">
      <w:pPr>
        <w:ind w:left="720"/>
      </w:pPr>
      <w:r>
        <w:t>A jury administrator travel</w:t>
      </w:r>
      <w:r w:rsidR="00A17922">
        <w:t>s</w:t>
      </w:r>
      <w:r>
        <w:t xml:space="preserve"> to </w:t>
      </w:r>
      <w:r w:rsidR="008442BD">
        <w:t>St. George for jury empanelment.</w:t>
      </w:r>
    </w:p>
    <w:p w:rsidR="003124DB" w:rsidRDefault="003124DB" w:rsidP="008442BD">
      <w:pPr>
        <w:ind w:left="720"/>
      </w:pPr>
      <w:r>
        <w:t xml:space="preserve">A </w:t>
      </w:r>
      <w:r w:rsidR="00457359">
        <w:t xml:space="preserve">Magistrate Judge </w:t>
      </w:r>
      <w:r w:rsidR="001F3860">
        <w:t xml:space="preserve">based in Salt Lake City </w:t>
      </w:r>
      <w:r>
        <w:t>hear</w:t>
      </w:r>
      <w:r w:rsidR="00A17922">
        <w:t xml:space="preserve">s </w:t>
      </w:r>
      <w:r>
        <w:t xml:space="preserve">misdemeanor and preliminary felony matters in Moab, Utah, and </w:t>
      </w:r>
      <w:r w:rsidR="00965F95">
        <w:t xml:space="preserve">Tribal Community Re-Entry Court matters in </w:t>
      </w:r>
      <w:proofErr w:type="spellStart"/>
      <w:r w:rsidR="00965F95">
        <w:t>Aneth</w:t>
      </w:r>
      <w:proofErr w:type="spellEnd"/>
      <w:r w:rsidR="00965F95">
        <w:t>, Utah</w:t>
      </w:r>
      <w:r w:rsidR="00872584">
        <w:t>, at the Four Corners</w:t>
      </w:r>
      <w:r w:rsidR="00965F95">
        <w:t>.</w:t>
      </w:r>
    </w:p>
    <w:p w:rsidR="00BC4DC2" w:rsidRPr="006E70A4" w:rsidRDefault="00BC4DC2" w:rsidP="00EA3396">
      <w:pPr>
        <w:pStyle w:val="Heading1"/>
      </w:pPr>
      <w:bookmarkStart w:id="2" w:name="_Toc1375335"/>
      <w:r>
        <w:t>Other</w:t>
      </w:r>
      <w:r w:rsidRPr="006E70A4">
        <w:t xml:space="preserve"> Federal Court </w:t>
      </w:r>
      <w:r>
        <w:t>Agencies</w:t>
      </w:r>
      <w:bookmarkEnd w:id="2"/>
    </w:p>
    <w:p w:rsidR="00D2650E" w:rsidRDefault="00872584" w:rsidP="0075634B">
      <w:r>
        <w:t>Other f</w:t>
      </w:r>
      <w:r w:rsidR="008442BD">
        <w:t xml:space="preserve">ederal agencies </w:t>
      </w:r>
      <w:r w:rsidR="00676F17">
        <w:t xml:space="preserve">related to the court </w:t>
      </w:r>
      <w:r w:rsidR="008442BD">
        <w:t xml:space="preserve">have </w:t>
      </w:r>
      <w:r w:rsidR="00D2650E">
        <w:t>established a presence in the Southern Region including</w:t>
      </w:r>
      <w:r>
        <w:t xml:space="preserve"> the following</w:t>
      </w:r>
      <w:r w:rsidR="008C3D77">
        <w:t xml:space="preserve">, which are </w:t>
      </w:r>
      <w:r w:rsidR="00BC4DC2">
        <w:t xml:space="preserve">(except for the </w:t>
      </w:r>
      <w:r w:rsidR="00114F55">
        <w:t>Court Security Officers (CSOs)</w:t>
      </w:r>
      <w:r w:rsidR="00BC4DC2">
        <w:t xml:space="preserve">) </w:t>
      </w:r>
      <w:r w:rsidR="008C3D77">
        <w:t>based outside the leased</w:t>
      </w:r>
      <w:r w:rsidR="00BC4DC2">
        <w:t xml:space="preserve"> courthouse</w:t>
      </w:r>
      <w:r w:rsidR="008C3D77">
        <w:t xml:space="preserve"> space</w:t>
      </w:r>
      <w:r w:rsidR="00D2650E">
        <w:t>:</w:t>
      </w:r>
    </w:p>
    <w:p w:rsidR="00D2650E" w:rsidRDefault="00D2650E" w:rsidP="0075634B">
      <w:pPr>
        <w:ind w:left="720"/>
      </w:pPr>
      <w:r>
        <w:t xml:space="preserve">The United States Attorney </w:t>
      </w:r>
      <w:r w:rsidR="0010656F">
        <w:t xml:space="preserve">started an office in St. George </w:t>
      </w:r>
      <w:r>
        <w:t xml:space="preserve">with </w:t>
      </w:r>
      <w:r w:rsidR="00F13B94">
        <w:t xml:space="preserve">one </w:t>
      </w:r>
      <w:r>
        <w:t xml:space="preserve">attorney and </w:t>
      </w:r>
      <w:r w:rsidR="00F13B94">
        <w:t xml:space="preserve">two </w:t>
      </w:r>
      <w:r w:rsidR="008C3D77">
        <w:t xml:space="preserve">support </w:t>
      </w:r>
      <w:r>
        <w:t>staff in 20</w:t>
      </w:r>
      <w:r w:rsidR="00564C34">
        <w:t>07</w:t>
      </w:r>
      <w:r>
        <w:t xml:space="preserve">, expanding to </w:t>
      </w:r>
      <w:r w:rsidR="00564C34">
        <w:t>two attorneys in 2008</w:t>
      </w:r>
      <w:r w:rsidR="006E70A4">
        <w:t>,</w:t>
      </w:r>
      <w:r w:rsidR="00564C34">
        <w:t xml:space="preserve"> and </w:t>
      </w:r>
      <w:r w:rsidR="0010656F">
        <w:t xml:space="preserve">three attorneys and </w:t>
      </w:r>
      <w:r w:rsidR="000732DA">
        <w:t>two</w:t>
      </w:r>
      <w:r w:rsidR="000732DA">
        <w:t xml:space="preserve"> </w:t>
      </w:r>
      <w:r w:rsidR="008C3D77">
        <w:t xml:space="preserve">support </w:t>
      </w:r>
      <w:r w:rsidR="0010656F">
        <w:t>staff currently</w:t>
      </w:r>
      <w:r w:rsidR="0038566E">
        <w:t>.</w:t>
      </w:r>
      <w:r w:rsidR="00341B7F">
        <w:t xml:space="preserve"> In addition, </w:t>
      </w:r>
      <w:r w:rsidR="00341B7F" w:rsidRPr="00341B7F">
        <w:t>1-2 Special A</w:t>
      </w:r>
      <w:r w:rsidR="00457359">
        <w:t xml:space="preserve">ssistant </w:t>
      </w:r>
      <w:r w:rsidR="00341B7F" w:rsidRPr="00341B7F">
        <w:t>U</w:t>
      </w:r>
      <w:r w:rsidR="00457359">
        <w:t xml:space="preserve">nited </w:t>
      </w:r>
      <w:r w:rsidR="00341B7F" w:rsidRPr="00341B7F">
        <w:t>S</w:t>
      </w:r>
      <w:r w:rsidR="00457359">
        <w:t xml:space="preserve">tates </w:t>
      </w:r>
      <w:r w:rsidR="00341B7F" w:rsidRPr="00341B7F">
        <w:t>A</w:t>
      </w:r>
      <w:r w:rsidR="00457359">
        <w:t>ttorney</w:t>
      </w:r>
      <w:r w:rsidR="00341B7F" w:rsidRPr="00341B7F">
        <w:t xml:space="preserve">s </w:t>
      </w:r>
      <w:r w:rsidR="00341B7F">
        <w:t xml:space="preserve">are designated for work on one or two cases at a time. These are </w:t>
      </w:r>
      <w:r w:rsidR="00341B7F" w:rsidRPr="00341B7F">
        <w:t>usually Washington County prosecutors</w:t>
      </w:r>
      <w:r w:rsidR="00341B7F">
        <w:t>.</w:t>
      </w:r>
    </w:p>
    <w:p w:rsidR="0038566E" w:rsidRDefault="00872584" w:rsidP="00785EEA">
      <w:pPr>
        <w:ind w:left="720"/>
      </w:pPr>
      <w:r>
        <w:t>The Drug Enforcement Administration (</w:t>
      </w:r>
      <w:r w:rsidR="0038566E">
        <w:t>DEA</w:t>
      </w:r>
      <w:r>
        <w:t xml:space="preserve">) has a St. George office with </w:t>
      </w:r>
      <w:r w:rsidR="00F13B94">
        <w:t>two</w:t>
      </w:r>
      <w:r w:rsidR="00F13B94" w:rsidRPr="00515520">
        <w:t xml:space="preserve"> </w:t>
      </w:r>
      <w:r w:rsidR="00515520" w:rsidRPr="00515520">
        <w:t>Special Agents (and usually 1-2 more local officers assigned full-time to the DEA)</w:t>
      </w:r>
      <w:r w:rsidR="00515520">
        <w:t>.</w:t>
      </w:r>
      <w:r w:rsidR="00515520" w:rsidRPr="00515520">
        <w:t xml:space="preserve"> And they are working toward opening a large drug diversion office </w:t>
      </w:r>
      <w:r w:rsidR="00114F55">
        <w:t xml:space="preserve">in the area </w:t>
      </w:r>
      <w:r w:rsidR="00515520" w:rsidRPr="00515520">
        <w:t>(5-10 employees)</w:t>
      </w:r>
      <w:r>
        <w:t>.</w:t>
      </w:r>
    </w:p>
    <w:p w:rsidR="00341B7F" w:rsidRDefault="00341B7F" w:rsidP="00341B7F">
      <w:pPr>
        <w:ind w:left="720"/>
      </w:pPr>
      <w:r>
        <w:lastRenderedPageBreak/>
        <w:t>Homeland Security (including Immigrations and Customs Enforcement (ICE)) has a St. George office with</w:t>
      </w:r>
      <w:r w:rsidRPr="00515520">
        <w:t xml:space="preserve"> </w:t>
      </w:r>
      <w:r w:rsidR="00F13B94">
        <w:t>six</w:t>
      </w:r>
      <w:r w:rsidR="00F13B94" w:rsidRPr="00515520">
        <w:t xml:space="preserve"> </w:t>
      </w:r>
      <w:r w:rsidRPr="00515520">
        <w:t>criminal Special Agents</w:t>
      </w:r>
      <w:r w:rsidR="00114F55">
        <w:t xml:space="preserve"> and</w:t>
      </w:r>
      <w:r w:rsidR="00114F55" w:rsidRPr="00515520">
        <w:t xml:space="preserve"> </w:t>
      </w:r>
      <w:r w:rsidRPr="00515520">
        <w:t xml:space="preserve">4-6 </w:t>
      </w:r>
      <w:r w:rsidR="00114F55">
        <w:t>a</w:t>
      </w:r>
      <w:r w:rsidR="00114F55" w:rsidRPr="00515520">
        <w:t xml:space="preserve">dministrative </w:t>
      </w:r>
      <w:r w:rsidRPr="00515520">
        <w:t>law enforcement officers</w:t>
      </w:r>
      <w:r>
        <w:t>.</w:t>
      </w:r>
    </w:p>
    <w:p w:rsidR="0038566E" w:rsidRDefault="00872584" w:rsidP="00785EEA">
      <w:pPr>
        <w:ind w:left="720"/>
      </w:pPr>
      <w:r>
        <w:t>The Federal Bureau of Investigation (</w:t>
      </w:r>
      <w:r w:rsidR="0038566E">
        <w:t>FBI</w:t>
      </w:r>
      <w:r>
        <w:t>)</w:t>
      </w:r>
      <w:r w:rsidR="0038566E">
        <w:t xml:space="preserve"> </w:t>
      </w:r>
      <w:r>
        <w:t xml:space="preserve">has a St. George office with </w:t>
      </w:r>
      <w:r w:rsidR="00F13B94">
        <w:t xml:space="preserve">three </w:t>
      </w:r>
      <w:r>
        <w:t xml:space="preserve">agents and has </w:t>
      </w:r>
      <w:r w:rsidR="00F13B94">
        <w:t xml:space="preserve">one </w:t>
      </w:r>
      <w:r>
        <w:t>agent in</w:t>
      </w:r>
      <w:r w:rsidR="0038566E">
        <w:t xml:space="preserve"> Monticello</w:t>
      </w:r>
      <w:r>
        <w:t>, Utah.</w:t>
      </w:r>
    </w:p>
    <w:p w:rsidR="00341B7F" w:rsidRDefault="00341B7F" w:rsidP="00785EEA">
      <w:pPr>
        <w:ind w:left="720"/>
      </w:pPr>
      <w:r>
        <w:t>Alcohol, Tobacco and Firearms (ATF) has one local officer cross designated for federal work who spends 25% of his time on federal cases.</w:t>
      </w:r>
    </w:p>
    <w:p w:rsidR="00785EEA" w:rsidRDefault="00872584" w:rsidP="00C159B6">
      <w:pPr>
        <w:ind w:left="720"/>
      </w:pPr>
      <w:r>
        <w:t>The U</w:t>
      </w:r>
      <w:r w:rsidR="00114F55">
        <w:t xml:space="preserve">nited </w:t>
      </w:r>
      <w:r>
        <w:t>S</w:t>
      </w:r>
      <w:r w:rsidR="00114F55">
        <w:t>tates</w:t>
      </w:r>
      <w:r>
        <w:t xml:space="preserve"> </w:t>
      </w:r>
      <w:r w:rsidR="00785EEA">
        <w:t xml:space="preserve">Marshals </w:t>
      </w:r>
      <w:r>
        <w:t xml:space="preserve">have two Marshals resident in </w:t>
      </w:r>
      <w:r w:rsidR="008C3D77">
        <w:t xml:space="preserve">their </w:t>
      </w:r>
      <w:r>
        <w:t>St. George</w:t>
      </w:r>
      <w:r w:rsidR="008C3D77">
        <w:t xml:space="preserve"> </w:t>
      </w:r>
      <w:r>
        <w:t>office. Also, two C</w:t>
      </w:r>
      <w:r w:rsidR="00785EEA">
        <w:t>SOs</w:t>
      </w:r>
      <w:r>
        <w:t xml:space="preserve"> are based in St. George.</w:t>
      </w:r>
    </w:p>
    <w:p w:rsidR="009A0FE5" w:rsidRDefault="00872584" w:rsidP="00EA3396">
      <w:pPr>
        <w:pStyle w:val="Heading1"/>
      </w:pPr>
      <w:bookmarkStart w:id="3" w:name="_Toc1375336"/>
      <w:r>
        <w:t>2018</w:t>
      </w:r>
      <w:r w:rsidR="009A0FE5">
        <w:t xml:space="preserve"> Changes</w:t>
      </w:r>
      <w:bookmarkEnd w:id="3"/>
    </w:p>
    <w:p w:rsidR="008032ED" w:rsidRDefault="0084316E">
      <w:r>
        <w:t xml:space="preserve">Recent changes </w:t>
      </w:r>
      <w:r w:rsidR="00A522C5">
        <w:t>have</w:t>
      </w:r>
      <w:r>
        <w:t xml:space="preserve"> </w:t>
      </w:r>
      <w:r w:rsidR="00A410A0">
        <w:t>expand</w:t>
      </w:r>
      <w:r w:rsidR="00A522C5">
        <w:t>ed</w:t>
      </w:r>
      <w:r>
        <w:t xml:space="preserve"> service</w:t>
      </w:r>
      <w:r w:rsidR="001F3860">
        <w:t xml:space="preserve"> in Southern Utah</w:t>
      </w:r>
      <w:r>
        <w:t>:</w:t>
      </w:r>
    </w:p>
    <w:p w:rsidR="00ED7BAF" w:rsidRDefault="00B9304A" w:rsidP="00676F17">
      <w:pPr>
        <w:ind w:left="720"/>
      </w:pPr>
      <w:r w:rsidRPr="00676F17">
        <w:rPr>
          <w:b/>
        </w:rPr>
        <w:t>Statistical Tracking:</w:t>
      </w:r>
      <w:r>
        <w:t xml:space="preserve"> </w:t>
      </w:r>
      <w:r w:rsidR="000F7C57">
        <w:t xml:space="preserve">The </w:t>
      </w:r>
      <w:r w:rsidR="00114F55">
        <w:t xml:space="preserve">court </w:t>
      </w:r>
      <w:r w:rsidR="000F7C57">
        <w:t>e</w:t>
      </w:r>
      <w:r w:rsidR="003057C6">
        <w:t>s</w:t>
      </w:r>
      <w:r w:rsidR="00F32FBD">
        <w:t>tablish</w:t>
      </w:r>
      <w:r w:rsidR="000F7C57">
        <w:t>ed a</w:t>
      </w:r>
      <w:r w:rsidR="00F32FBD">
        <w:t xml:space="preserve"> </w:t>
      </w:r>
      <w:r w:rsidR="003057C6">
        <w:t>Southern</w:t>
      </w:r>
      <w:r w:rsidR="00F32FBD">
        <w:t xml:space="preserve"> </w:t>
      </w:r>
      <w:r w:rsidR="008032ED">
        <w:t>R</w:t>
      </w:r>
      <w:r w:rsidR="00F32FBD">
        <w:t>egion</w:t>
      </w:r>
      <w:r w:rsidR="000B0056">
        <w:t xml:space="preserve"> to facilitate statistical tracking of the case activity in the area. The Bankruptcy Court began this tracking in January 2018 and the District Court followed in March 2018.</w:t>
      </w:r>
      <w:r w:rsidR="00C159B6">
        <w:t xml:space="preserve"> </w:t>
      </w:r>
      <w:r w:rsidR="00C65968">
        <w:t>No automated statistical records of Southern Utah cases were previously available.</w:t>
      </w:r>
      <w:r w:rsidR="00203ED8">
        <w:t xml:space="preserve"> As of late 2018, the new automated statistics confirmed historical </w:t>
      </w:r>
      <w:r w:rsidR="00736182">
        <w:t>data</w:t>
      </w:r>
      <w:r w:rsidR="00203ED8">
        <w:t xml:space="preserve"> showing that about 10% of the district civil caseload and 15% of the criminal caseload are from the Southern Region.</w:t>
      </w:r>
    </w:p>
    <w:p w:rsidR="00736182" w:rsidRDefault="00736182" w:rsidP="00053CF5">
      <w:pPr>
        <w:ind w:left="1080"/>
      </w:pPr>
      <w:r w:rsidRPr="00736182">
        <w:rPr>
          <w:noProof/>
        </w:rPr>
        <w:drawing>
          <wp:inline distT="0" distB="0" distL="0" distR="0">
            <wp:extent cx="4883573" cy="80994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15349" cy="815215"/>
                    </a:xfrm>
                    <a:prstGeom prst="rect">
                      <a:avLst/>
                    </a:prstGeom>
                    <a:noFill/>
                    <a:ln>
                      <a:noFill/>
                    </a:ln>
                  </pic:spPr>
                </pic:pic>
              </a:graphicData>
            </a:graphic>
          </wp:inline>
        </w:drawing>
      </w:r>
    </w:p>
    <w:p w:rsidR="009C5C9C" w:rsidRDefault="00B9304A" w:rsidP="00676F17">
      <w:pPr>
        <w:ind w:left="720"/>
      </w:pPr>
      <w:r w:rsidRPr="00676F17">
        <w:rPr>
          <w:b/>
        </w:rPr>
        <w:t>Civil Ca</w:t>
      </w:r>
      <w:r w:rsidR="00C85AF3" w:rsidRPr="00676F17">
        <w:rPr>
          <w:b/>
        </w:rPr>
        <w:t>ses:</w:t>
      </w:r>
      <w:r w:rsidR="00C85AF3">
        <w:t xml:space="preserve"> </w:t>
      </w:r>
      <w:r w:rsidR="00ED7BAF">
        <w:t>Beginning in March 2018, c</w:t>
      </w:r>
      <w:r w:rsidR="004A1EF5">
        <w:t xml:space="preserve">ivil </w:t>
      </w:r>
      <w:r w:rsidR="009C5C9C">
        <w:t>cases</w:t>
      </w:r>
      <w:r w:rsidR="000B0056">
        <w:t xml:space="preserve"> in the Southern Region were assigned to a single </w:t>
      </w:r>
      <w:r w:rsidR="00114F55">
        <w:t xml:space="preserve">District Judge </w:t>
      </w:r>
      <w:r w:rsidR="000B0056">
        <w:t>who hears cases in St. George.</w:t>
      </w:r>
      <w:r w:rsidR="00A17922">
        <w:t xml:space="preserve"> </w:t>
      </w:r>
      <w:r w:rsidR="000B0056">
        <w:t>Case management conferences are heard in most types of civil cases and motions to dismiss are heard on an expedited basis.</w:t>
      </w:r>
    </w:p>
    <w:p w:rsidR="00416449" w:rsidRDefault="00C85AF3" w:rsidP="00676F17">
      <w:pPr>
        <w:ind w:left="720"/>
      </w:pPr>
      <w:r w:rsidRPr="00676F17">
        <w:rPr>
          <w:b/>
        </w:rPr>
        <w:t>Duty Station:</w:t>
      </w:r>
      <w:r>
        <w:t xml:space="preserve"> </w:t>
      </w:r>
      <w:r w:rsidR="00F37876">
        <w:t xml:space="preserve">The </w:t>
      </w:r>
      <w:r w:rsidR="00114F55">
        <w:t xml:space="preserve">District Judge </w:t>
      </w:r>
      <w:r w:rsidR="00F37876">
        <w:t xml:space="preserve">assigned to </w:t>
      </w:r>
      <w:r w:rsidR="005853A3">
        <w:t>Southern Region civil cases changed his duty station to St. George.</w:t>
      </w:r>
      <w:r w:rsidR="00203ED8" w:rsidRPr="00203ED8">
        <w:rPr>
          <w:rStyle w:val="FootnoteReference"/>
        </w:rPr>
        <w:t xml:space="preserve"> </w:t>
      </w:r>
      <w:r w:rsidR="00203ED8">
        <w:rPr>
          <w:rStyle w:val="FootnoteReference"/>
        </w:rPr>
        <w:footnoteReference w:id="2"/>
      </w:r>
      <w:r w:rsidR="00A17922">
        <w:t xml:space="preserve"> </w:t>
      </w:r>
      <w:r w:rsidR="00BC4DC2">
        <w:t>T</w:t>
      </w:r>
      <w:r w:rsidR="005853A3">
        <w:t>his change signified the court’s commitment to improving services</w:t>
      </w:r>
      <w:r w:rsidR="00140066">
        <w:t>.</w:t>
      </w:r>
      <w:r w:rsidR="00FF761D">
        <w:rPr>
          <w:rStyle w:val="FootnoteReference"/>
        </w:rPr>
        <w:footnoteReference w:id="3"/>
      </w:r>
      <w:r w:rsidR="00140066">
        <w:t xml:space="preserve"> </w:t>
      </w:r>
    </w:p>
    <w:p w:rsidR="00F32FBD" w:rsidRDefault="00FF761D" w:rsidP="00676F17">
      <w:pPr>
        <w:ind w:left="720"/>
      </w:pPr>
      <w:r w:rsidRPr="00676F17">
        <w:rPr>
          <w:b/>
        </w:rPr>
        <w:t>Resident Law Clerk:</w:t>
      </w:r>
      <w:r>
        <w:t xml:space="preserve"> </w:t>
      </w:r>
      <w:r w:rsidR="00870D91">
        <w:t xml:space="preserve">In August 2018, </w:t>
      </w:r>
      <w:r w:rsidR="00114F55">
        <w:t xml:space="preserve">the District Judge </w:t>
      </w:r>
      <w:r w:rsidR="000E4105">
        <w:t>hired a law clerk who is resident in St. George.</w:t>
      </w:r>
      <w:r w:rsidR="00A17922">
        <w:t xml:space="preserve"> </w:t>
      </w:r>
      <w:r w:rsidR="000E4105">
        <w:t>This is the first full-time law trained court employee in St. George.</w:t>
      </w:r>
      <w:r w:rsidR="00093147">
        <w:rPr>
          <w:rStyle w:val="FootnoteReference"/>
        </w:rPr>
        <w:footnoteReference w:id="4"/>
      </w:r>
    </w:p>
    <w:p w:rsidR="0020798E" w:rsidRDefault="005239E2" w:rsidP="00F5351B">
      <w:pPr>
        <w:ind w:left="720"/>
      </w:pPr>
      <w:r w:rsidRPr="00676F17">
        <w:rPr>
          <w:b/>
        </w:rPr>
        <w:t>Amend</w:t>
      </w:r>
      <w:r w:rsidR="005373BC" w:rsidRPr="00676F17">
        <w:rPr>
          <w:b/>
        </w:rPr>
        <w:t>ed</w:t>
      </w:r>
      <w:r w:rsidRPr="00676F17">
        <w:rPr>
          <w:b/>
        </w:rPr>
        <w:t xml:space="preserve"> </w:t>
      </w:r>
      <w:r w:rsidR="00F529C6">
        <w:rPr>
          <w:b/>
        </w:rPr>
        <w:t>J</w:t>
      </w:r>
      <w:r w:rsidR="00F529C6" w:rsidRPr="00676F17">
        <w:rPr>
          <w:b/>
        </w:rPr>
        <w:t xml:space="preserve">ury </w:t>
      </w:r>
      <w:r w:rsidR="00F529C6">
        <w:rPr>
          <w:b/>
        </w:rPr>
        <w:t>P</w:t>
      </w:r>
      <w:r w:rsidR="00F529C6" w:rsidRPr="00676F17">
        <w:rPr>
          <w:b/>
        </w:rPr>
        <w:t>lan</w:t>
      </w:r>
      <w:r w:rsidR="005373BC" w:rsidRPr="00676F17">
        <w:rPr>
          <w:b/>
        </w:rPr>
        <w:t>:</w:t>
      </w:r>
      <w:r w:rsidR="00A17922" w:rsidRPr="00676F17">
        <w:rPr>
          <w:b/>
        </w:rPr>
        <w:t xml:space="preserve"> </w:t>
      </w:r>
      <w:r w:rsidR="005373BC">
        <w:t xml:space="preserve">The District Court Jury Plan was amended to </w:t>
      </w:r>
      <w:r w:rsidR="008169CA">
        <w:t>make it possible to call jurors from the</w:t>
      </w:r>
      <w:r w:rsidR="005373BC">
        <w:t xml:space="preserve"> Southern Region</w:t>
      </w:r>
      <w:r w:rsidR="008169CA">
        <w:t>.</w:t>
      </w:r>
      <w:r w:rsidR="00A17922">
        <w:t xml:space="preserve"> </w:t>
      </w:r>
      <w:r w:rsidR="00F5351B">
        <w:t xml:space="preserve">The new jury plan establishes a Northern/Central Jury Division </w:t>
      </w:r>
      <w:r w:rsidR="00F5351B">
        <w:lastRenderedPageBreak/>
        <w:t xml:space="preserve">(consisting of all of Utah except the Southern Region of the </w:t>
      </w:r>
      <w:r w:rsidR="00114F55">
        <w:t>court</w:t>
      </w:r>
      <w:r w:rsidR="00F5351B">
        <w:t xml:space="preserve">) and a Southern Region Jury Division. Still, some panel members will have to travel large distances. But for panel members from the Wasatch Front and St. George, the population centers in those areas, who will make up the majority of a jury panel called for trials in those areas, travel will be minimal. </w:t>
      </w:r>
      <w:r w:rsidR="0020798E">
        <w:t>Th</w:t>
      </w:r>
      <w:r w:rsidR="00F5351B">
        <w:t>e new plan</w:t>
      </w:r>
      <w:r w:rsidR="0020798E">
        <w:t xml:space="preserve"> makes civil and criminal trials less burdensome on jurors and </w:t>
      </w:r>
      <w:r w:rsidR="00E9353A">
        <w:t>may</w:t>
      </w:r>
      <w:r w:rsidR="004B543E">
        <w:t xml:space="preserve"> eventually </w:t>
      </w:r>
      <w:r w:rsidR="0020798E">
        <w:t xml:space="preserve">allow </w:t>
      </w:r>
      <w:r w:rsidR="00E9353A">
        <w:t>Southern Region residents</w:t>
      </w:r>
      <w:r w:rsidR="0020798E">
        <w:t xml:space="preserve"> to serve on </w:t>
      </w:r>
      <w:r w:rsidR="00BC4DC2">
        <w:t xml:space="preserve">a </w:t>
      </w:r>
      <w:r w:rsidR="0020798E">
        <w:t>federal grand jur</w:t>
      </w:r>
      <w:r w:rsidR="00BC4DC2">
        <w:t>y</w:t>
      </w:r>
      <w:r w:rsidR="00F5351B">
        <w:t xml:space="preserve"> without </w:t>
      </w:r>
      <w:r w:rsidR="00E9353A">
        <w:t>sacrificing three days for each appearance</w:t>
      </w:r>
      <w:r w:rsidR="0020798E">
        <w:t>.</w:t>
      </w:r>
      <w:r w:rsidR="00BC4DC2">
        <w:t xml:space="preserve"> Similar time savings would inure to Assistant United States Attorneys and law enforcement agents.</w:t>
      </w:r>
    </w:p>
    <w:p w:rsidR="005239E2" w:rsidRDefault="0020798E" w:rsidP="00676F17">
      <w:pPr>
        <w:ind w:left="720"/>
      </w:pPr>
      <w:r w:rsidRPr="00676F17">
        <w:rPr>
          <w:b/>
        </w:rPr>
        <w:t xml:space="preserve">Technology </w:t>
      </w:r>
      <w:r w:rsidR="00F529C6">
        <w:rPr>
          <w:b/>
        </w:rPr>
        <w:t>I</w:t>
      </w:r>
      <w:r w:rsidR="00F529C6" w:rsidRPr="00676F17">
        <w:rPr>
          <w:b/>
        </w:rPr>
        <w:t>mprovements</w:t>
      </w:r>
      <w:r w:rsidRPr="00676F17">
        <w:rPr>
          <w:b/>
        </w:rPr>
        <w:t>:</w:t>
      </w:r>
      <w:r w:rsidR="00A17922">
        <w:t xml:space="preserve"> </w:t>
      </w:r>
      <w:r>
        <w:t xml:space="preserve">The courtroom presentation technology was supplemented at a very low cost to allow </w:t>
      </w:r>
      <w:r w:rsidR="00F5351B">
        <w:t xml:space="preserve">evidence </w:t>
      </w:r>
      <w:r>
        <w:t>presentation from counsel tables, the lectern or bench.</w:t>
      </w:r>
      <w:r w:rsidR="00A17922">
        <w:t xml:space="preserve"> </w:t>
      </w:r>
      <w:r>
        <w:t>Network connections in the building were improved and bandwidth to the court intranet was increased to accommodate more staff use of computer systems</w:t>
      </w:r>
      <w:r w:rsidR="00F5351B">
        <w:t xml:space="preserve"> and backup of all court data to a server in St. George</w:t>
      </w:r>
      <w:r>
        <w:t>.</w:t>
      </w:r>
      <w:r w:rsidR="008175C2">
        <w:t xml:space="preserve"> In addition, courtroom video, Skype for Business and </w:t>
      </w:r>
      <w:r w:rsidR="00114F55">
        <w:t xml:space="preserve">Microsoft </w:t>
      </w:r>
      <w:r w:rsidR="008175C2">
        <w:t>OneDrive have facilitated training and collaborative work between Salt Lake City based staff and St. George based staff.</w:t>
      </w:r>
    </w:p>
    <w:p w:rsidR="009C5C9C" w:rsidRDefault="009C5C9C" w:rsidP="00676F17">
      <w:pPr>
        <w:ind w:left="720"/>
      </w:pPr>
      <w:r w:rsidRPr="00676F17">
        <w:rPr>
          <w:b/>
        </w:rPr>
        <w:t xml:space="preserve">Renewed </w:t>
      </w:r>
      <w:r w:rsidR="00F529C6">
        <w:rPr>
          <w:b/>
        </w:rPr>
        <w:t>F</w:t>
      </w:r>
      <w:r w:rsidR="00F529C6" w:rsidRPr="00676F17">
        <w:rPr>
          <w:b/>
        </w:rPr>
        <w:t xml:space="preserve">acilities </w:t>
      </w:r>
      <w:r w:rsidR="00F529C6">
        <w:rPr>
          <w:b/>
        </w:rPr>
        <w:t>L</w:t>
      </w:r>
      <w:r w:rsidR="00F529C6" w:rsidRPr="00676F17">
        <w:rPr>
          <w:b/>
        </w:rPr>
        <w:t>ease</w:t>
      </w:r>
      <w:r w:rsidR="00676F17">
        <w:rPr>
          <w:b/>
        </w:rPr>
        <w:t>:</w:t>
      </w:r>
      <w:r w:rsidR="00872584">
        <w:rPr>
          <w:b/>
        </w:rPr>
        <w:t xml:space="preserve"> </w:t>
      </w:r>
      <w:r w:rsidR="0020798E">
        <w:t>The lease of a courtroom (</w:t>
      </w:r>
      <w:proofErr w:type="gramStart"/>
      <w:r w:rsidR="0020798E">
        <w:t>on a daily basis</w:t>
      </w:r>
      <w:proofErr w:type="gramEnd"/>
      <w:r w:rsidR="0020798E">
        <w:t>) and three office spaces in the state courthouse was renewed</w:t>
      </w:r>
      <w:r w:rsidR="00F5351B">
        <w:t>,</w:t>
      </w:r>
      <w:r w:rsidR="0020798E">
        <w:t xml:space="preserve"> to expire in June 2024.</w:t>
      </w:r>
    </w:p>
    <w:p w:rsidR="004A1EF5" w:rsidRDefault="00856C7B" w:rsidP="00676F17">
      <w:pPr>
        <w:ind w:left="720"/>
      </w:pPr>
      <w:r w:rsidRPr="00676F17">
        <w:rPr>
          <w:b/>
        </w:rPr>
        <w:t>New Courtroom Deputy:</w:t>
      </w:r>
      <w:r w:rsidR="00A17922">
        <w:t xml:space="preserve"> </w:t>
      </w:r>
      <w:r>
        <w:t xml:space="preserve">A new courtroom deputy was hired in November 2018 who </w:t>
      </w:r>
      <w:r w:rsidR="00BC4DC2">
        <w:t>is</w:t>
      </w:r>
      <w:r>
        <w:t xml:space="preserve"> trained in civil, criminal, and bankruptcy matters.</w:t>
      </w:r>
    </w:p>
    <w:p w:rsidR="00856C7B" w:rsidRDefault="00856C7B" w:rsidP="00676F17">
      <w:pPr>
        <w:ind w:left="720"/>
      </w:pPr>
      <w:r w:rsidRPr="00676F17">
        <w:rPr>
          <w:b/>
        </w:rPr>
        <w:t>Attorney Development:</w:t>
      </w:r>
      <w:r>
        <w:t xml:space="preserve"> </w:t>
      </w:r>
      <w:r w:rsidR="00676F17">
        <w:t>The District CJA Administrator has organized CLE by video and in person to the CJA Panel members in Southern Utah.</w:t>
      </w:r>
      <w:r w:rsidR="00F2468E">
        <w:t xml:space="preserve"> The court has </w:t>
      </w:r>
      <w:r w:rsidR="00114F55">
        <w:t xml:space="preserve">also </w:t>
      </w:r>
      <w:r w:rsidR="00F2468E">
        <w:t>conducted CLE for civil practitioners.</w:t>
      </w:r>
    </w:p>
    <w:p w:rsidR="00BC4DC2" w:rsidRPr="0059294F" w:rsidRDefault="00BC4DC2" w:rsidP="00BC4DC2">
      <w:pPr>
        <w:ind w:left="720"/>
      </w:pPr>
      <w:r>
        <w:rPr>
          <w:b/>
        </w:rPr>
        <w:t>Emergence of Admiralty Case Type:</w:t>
      </w:r>
      <w:r>
        <w:t xml:space="preserve"> The Southern Region contains Lake Powell, where many admiralty cases are filed. Rather than being split between ten </w:t>
      </w:r>
      <w:r w:rsidR="00114F55">
        <w:t>District J</w:t>
      </w:r>
      <w:r>
        <w:t>udges, the</w:t>
      </w:r>
      <w:r w:rsidR="00114F55">
        <w:t>se cases</w:t>
      </w:r>
      <w:r>
        <w:t xml:space="preserve"> are now concentrated in one judge, so staff can develop some specialty and consistency.</w:t>
      </w:r>
    </w:p>
    <w:p w:rsidR="001F3860" w:rsidRDefault="001F3860" w:rsidP="00676F17">
      <w:pPr>
        <w:ind w:left="720"/>
      </w:pPr>
      <w:r>
        <w:rPr>
          <w:b/>
        </w:rPr>
        <w:t>Special Sessions of Court:</w:t>
      </w:r>
      <w:r>
        <w:t xml:space="preserve"> Special sessions of court have been held in Moab, Utah, for </w:t>
      </w:r>
      <w:r w:rsidR="00B120DE">
        <w:t xml:space="preserve">a </w:t>
      </w:r>
      <w:r>
        <w:t>civil case arising there</w:t>
      </w:r>
      <w:r w:rsidR="00B120DE">
        <w:t xml:space="preserve"> and in </w:t>
      </w:r>
      <w:proofErr w:type="spellStart"/>
      <w:r w:rsidR="00B120DE">
        <w:t>Aneth</w:t>
      </w:r>
      <w:proofErr w:type="spellEnd"/>
      <w:r w:rsidR="00114F55">
        <w:t>,</w:t>
      </w:r>
      <w:r w:rsidR="00B120DE">
        <w:t xml:space="preserve"> Utah</w:t>
      </w:r>
      <w:r w:rsidR="00114F55">
        <w:t>,</w:t>
      </w:r>
      <w:r w:rsidR="00B120DE">
        <w:t xml:space="preserve"> in criminal cases</w:t>
      </w:r>
      <w:r>
        <w:t xml:space="preserve">. Grand and San Juan Counties are not convenient to Salt Lake City or St. George, and the relatively low per capita income </w:t>
      </w:r>
      <w:r w:rsidR="006878FC">
        <w:t>hampers</w:t>
      </w:r>
      <w:r>
        <w:t xml:space="preserve"> travel for litigants and the public.</w:t>
      </w:r>
      <w:r w:rsidR="00F5351B">
        <w:t xml:space="preserve"> Occasional special sessions allow greater attendance by the public and reduce litigant cost</w:t>
      </w:r>
      <w:r w:rsidR="00F529C6">
        <w:t>s</w:t>
      </w:r>
      <w:r w:rsidR="00F5351B">
        <w:t>.</w:t>
      </w:r>
      <w:r w:rsidR="00B120DE">
        <w:t xml:space="preserve"> The court </w:t>
      </w:r>
      <w:r w:rsidR="00BC4DC2">
        <w:t>will pursue</w:t>
      </w:r>
      <w:r w:rsidR="00B120DE">
        <w:t xml:space="preserve"> legislative expansion of locations of holding court to include Moab, a rapidly growing city.</w:t>
      </w:r>
    </w:p>
    <w:p w:rsidR="00B54D25" w:rsidRDefault="00B54D25" w:rsidP="00676F17">
      <w:pPr>
        <w:ind w:left="720"/>
      </w:pPr>
      <w:r>
        <w:rPr>
          <w:b/>
        </w:rPr>
        <w:t xml:space="preserve">Review of </w:t>
      </w:r>
      <w:r w:rsidR="00F529C6">
        <w:rPr>
          <w:b/>
        </w:rPr>
        <w:t xml:space="preserve">Services </w:t>
      </w:r>
      <w:r>
        <w:rPr>
          <w:b/>
        </w:rPr>
        <w:t xml:space="preserve">to Navajo Nation: </w:t>
      </w:r>
      <w:r>
        <w:t xml:space="preserve">The statistical identification of Southern Region cases has highlighted the Major Crimes cases from the Navajo Nation, far away from Salt Lake City and St. George. The challenges of service in this area </w:t>
      </w:r>
      <w:r w:rsidR="00BC4DC2">
        <w:t>will</w:t>
      </w:r>
      <w:r>
        <w:t xml:space="preserve"> be reviewed in the future.</w:t>
      </w:r>
    </w:p>
    <w:p w:rsidR="00856C7B" w:rsidRPr="00244B01" w:rsidRDefault="00F2468E" w:rsidP="00EA3396">
      <w:pPr>
        <w:pStyle w:val="Heading1"/>
      </w:pPr>
      <w:bookmarkStart w:id="4" w:name="_Toc1375337"/>
      <w:r>
        <w:t xml:space="preserve">Future </w:t>
      </w:r>
      <w:r w:rsidR="00244B01" w:rsidRPr="00244B01">
        <w:t xml:space="preserve">Changes Within the </w:t>
      </w:r>
      <w:r w:rsidR="00B421B6" w:rsidRPr="00244B01">
        <w:t>Five-Year</w:t>
      </w:r>
      <w:r w:rsidR="00244B01" w:rsidRPr="00244B01">
        <w:t xml:space="preserve"> Services Plan:</w:t>
      </w:r>
      <w:bookmarkEnd w:id="4"/>
    </w:p>
    <w:p w:rsidR="004A1EF5" w:rsidRDefault="00B421B6" w:rsidP="00F2468E">
      <w:pPr>
        <w:ind w:left="720"/>
      </w:pPr>
      <w:r>
        <w:rPr>
          <w:b/>
        </w:rPr>
        <w:t>2019</w:t>
      </w:r>
      <w:r w:rsidR="00AC7C96">
        <w:rPr>
          <w:b/>
        </w:rPr>
        <w:t xml:space="preserve"> – </w:t>
      </w:r>
      <w:r w:rsidRPr="00B421B6">
        <w:rPr>
          <w:b/>
        </w:rPr>
        <w:t>New Magistrate Judge:</w:t>
      </w:r>
      <w:r>
        <w:t xml:space="preserve"> A new part</w:t>
      </w:r>
      <w:r w:rsidR="00F5351B">
        <w:t>-</w:t>
      </w:r>
      <w:r>
        <w:t xml:space="preserve">time </w:t>
      </w:r>
      <w:r w:rsidR="00F529C6">
        <w:t xml:space="preserve">Magistrate Judge </w:t>
      </w:r>
      <w:r>
        <w:t>will be appointed to begin service Ma</w:t>
      </w:r>
      <w:r w:rsidR="00BC4DC2">
        <w:t xml:space="preserve">rch </w:t>
      </w:r>
      <w:r w:rsidR="00053CF5">
        <w:t>18</w:t>
      </w:r>
      <w:r w:rsidR="00F529C6">
        <w:t>,</w:t>
      </w:r>
      <w:r>
        <w:t xml:space="preserve"> 2019. This </w:t>
      </w:r>
      <w:r w:rsidR="00F529C6">
        <w:t xml:space="preserve">Judge </w:t>
      </w:r>
      <w:r>
        <w:t xml:space="preserve">will add civil casework to the criminal caseload handled by the current </w:t>
      </w:r>
      <w:r w:rsidR="00F529C6">
        <w:t>Magistrate Judge</w:t>
      </w:r>
      <w:r>
        <w:t xml:space="preserve">. In addition, this </w:t>
      </w:r>
      <w:r w:rsidR="00F529C6">
        <w:t xml:space="preserve">Judge </w:t>
      </w:r>
      <w:r>
        <w:t xml:space="preserve">will likely assume Southern Region </w:t>
      </w:r>
      <w:r>
        <w:lastRenderedPageBreak/>
        <w:t xml:space="preserve">responsibilities in </w:t>
      </w:r>
      <w:proofErr w:type="spellStart"/>
      <w:r>
        <w:t>Aneth</w:t>
      </w:r>
      <w:proofErr w:type="spellEnd"/>
      <w:r>
        <w:t xml:space="preserve"> and Moab, within the Southern Region, which are currently handled by a </w:t>
      </w:r>
      <w:r w:rsidR="00F529C6">
        <w:t xml:space="preserve">Magistrate Judge </w:t>
      </w:r>
      <w:r w:rsidR="00F5351B">
        <w:t xml:space="preserve">traveling </w:t>
      </w:r>
      <w:r>
        <w:t>from Salt Lake City.</w:t>
      </w:r>
    </w:p>
    <w:p w:rsidR="008175C2" w:rsidRDefault="008175C2" w:rsidP="00F2468E">
      <w:pPr>
        <w:ind w:left="720"/>
      </w:pPr>
      <w:r w:rsidRPr="008175C2">
        <w:rPr>
          <w:b/>
        </w:rPr>
        <w:t>2019 – District Judge Resident in St. George</w:t>
      </w:r>
      <w:r>
        <w:t xml:space="preserve">: In April 2019, District Judge David Nuffer will move </w:t>
      </w:r>
      <w:r w:rsidR="00F529C6">
        <w:t>h</w:t>
      </w:r>
      <w:r>
        <w:t xml:space="preserve">is residence to St. George to better serve the criminal and civil calendars. The short time frames of the criminal calendars and the greater number of hearings in those case make this location preferable to avoid travel time and expense. Instead of traveling to spend the first and third weeks of the month in St. George, with </w:t>
      </w:r>
      <w:r w:rsidR="00F13B94">
        <w:t>one</w:t>
      </w:r>
      <w:r>
        <w:t xml:space="preserve"> or two </w:t>
      </w:r>
      <w:r w:rsidR="00F13B94">
        <w:t xml:space="preserve">days </w:t>
      </w:r>
      <w:r>
        <w:t xml:space="preserve">on other weeks, the </w:t>
      </w:r>
      <w:r w:rsidR="00F529C6">
        <w:t xml:space="preserve">Judge </w:t>
      </w:r>
      <w:r>
        <w:t>will travel as needed to Salt Lake City the fourth week of the month for hearings needed there.</w:t>
      </w:r>
    </w:p>
    <w:p w:rsidR="004A1EF5" w:rsidRDefault="00BC4DC2" w:rsidP="00F2468E">
      <w:pPr>
        <w:ind w:left="720"/>
      </w:pPr>
      <w:r>
        <w:rPr>
          <w:b/>
        </w:rPr>
        <w:t>202</w:t>
      </w:r>
      <w:r w:rsidR="00B421B6" w:rsidRPr="00B421B6">
        <w:rPr>
          <w:b/>
        </w:rPr>
        <w:t>1</w:t>
      </w:r>
      <w:r w:rsidR="00AC7C96">
        <w:rPr>
          <w:b/>
        </w:rPr>
        <w:t xml:space="preserve"> – </w:t>
      </w:r>
      <w:r w:rsidR="00B421B6" w:rsidRPr="00B421B6">
        <w:rPr>
          <w:b/>
        </w:rPr>
        <w:t>Full Time Magistrate Judge</w:t>
      </w:r>
      <w:r w:rsidR="00AC7C96">
        <w:rPr>
          <w:b/>
        </w:rPr>
        <w:t xml:space="preserve"> and Staff</w:t>
      </w:r>
      <w:r w:rsidR="00B421B6" w:rsidRPr="00B421B6">
        <w:rPr>
          <w:b/>
        </w:rPr>
        <w:t>:</w:t>
      </w:r>
      <w:r w:rsidR="00B421B6">
        <w:t xml:space="preserve"> The workload of the part-time </w:t>
      </w:r>
      <w:r w:rsidR="00F529C6">
        <w:t>Magistrate Judge</w:t>
      </w:r>
      <w:r w:rsidR="00B421B6">
        <w:t xml:space="preserve">, with the addition of civil and remote duties, will likely justify termination of the part-time position and </w:t>
      </w:r>
      <w:r w:rsidR="00F529C6">
        <w:t xml:space="preserve">creation of </w:t>
      </w:r>
      <w:r w:rsidR="00B421B6">
        <w:t>a new full-time position</w:t>
      </w:r>
      <w:r w:rsidR="00AC7C96">
        <w:t xml:space="preserve">. While the part-time </w:t>
      </w:r>
      <w:r w:rsidR="00F529C6">
        <w:t xml:space="preserve">Magistrate Judge </w:t>
      </w:r>
      <w:r w:rsidR="00AC7C96">
        <w:t xml:space="preserve">has no staff, the new fill-time </w:t>
      </w:r>
      <w:r w:rsidR="00F529C6">
        <w:t>Magistrate J</w:t>
      </w:r>
      <w:r w:rsidR="00AC7C96">
        <w:t>udge will have two law clerks and a courtroom deputy.</w:t>
      </w:r>
    </w:p>
    <w:p w:rsidR="00B421B6" w:rsidRDefault="00B421B6" w:rsidP="00F2468E">
      <w:pPr>
        <w:ind w:left="720"/>
      </w:pPr>
      <w:r>
        <w:rPr>
          <w:b/>
        </w:rPr>
        <w:t>2021</w:t>
      </w:r>
      <w:r w:rsidR="00AC7C96">
        <w:rPr>
          <w:b/>
        </w:rPr>
        <w:t xml:space="preserve"> – </w:t>
      </w:r>
      <w:r w:rsidRPr="00B421B6">
        <w:rPr>
          <w:b/>
        </w:rPr>
        <w:t>Additional Law Clerk for District Judge</w:t>
      </w:r>
      <w:r>
        <w:t xml:space="preserve">: When the term of Judge </w:t>
      </w:r>
      <w:proofErr w:type="spellStart"/>
      <w:r>
        <w:t>Nuffer’s</w:t>
      </w:r>
      <w:proofErr w:type="spellEnd"/>
      <w:r>
        <w:t xml:space="preserve"> </w:t>
      </w:r>
      <w:r w:rsidR="00EA3396">
        <w:t xml:space="preserve">Salt Lake based </w:t>
      </w:r>
      <w:r>
        <w:t>term law clerk expires in May 2021</w:t>
      </w:r>
      <w:r w:rsidR="00EA3396">
        <w:t xml:space="preserve"> (or if </w:t>
      </w:r>
      <w:r w:rsidR="00F529C6">
        <w:t xml:space="preserve">the law clerk </w:t>
      </w:r>
      <w:r w:rsidR="00EA3396">
        <w:t>leaves before that time)</w:t>
      </w:r>
      <w:r>
        <w:t xml:space="preserve">, the replacement law clerk will </w:t>
      </w:r>
      <w:proofErr w:type="gramStart"/>
      <w:r>
        <w:t>be located in</w:t>
      </w:r>
      <w:proofErr w:type="gramEnd"/>
      <w:r>
        <w:t xml:space="preserve"> St. George, </w:t>
      </w:r>
      <w:r w:rsidR="00203ED8">
        <w:t xml:space="preserve">where the bulk of </w:t>
      </w:r>
      <w:r w:rsidR="00F529C6">
        <w:t xml:space="preserve">Judge </w:t>
      </w:r>
      <w:proofErr w:type="spellStart"/>
      <w:r w:rsidR="00F529C6">
        <w:t>Nuffer’s</w:t>
      </w:r>
      <w:proofErr w:type="spellEnd"/>
      <w:r w:rsidR="00F529C6">
        <w:t xml:space="preserve"> </w:t>
      </w:r>
      <w:r>
        <w:t>work will be.</w:t>
      </w:r>
    </w:p>
    <w:p w:rsidR="00C43D24" w:rsidRDefault="00C43D24" w:rsidP="00F2468E">
      <w:pPr>
        <w:ind w:left="720"/>
      </w:pPr>
      <w:r>
        <w:rPr>
          <w:b/>
        </w:rPr>
        <w:t>2021</w:t>
      </w:r>
      <w:r>
        <w:t xml:space="preserve"> </w:t>
      </w:r>
      <w:r w:rsidRPr="00C43D24">
        <w:rPr>
          <w:b/>
        </w:rPr>
        <w:t>– Additional Court Support Staff:</w:t>
      </w:r>
      <w:r>
        <w:t xml:space="preserve"> At some point, perhaps as late as 2021, additional court support staff will be required in St. George for services such as public service, </w:t>
      </w:r>
      <w:r w:rsidR="00AA0492">
        <w:t xml:space="preserve">jury service, </w:t>
      </w:r>
      <w:r>
        <w:t>docketing, IT, procurement, and finance.</w:t>
      </w:r>
    </w:p>
    <w:p w:rsidR="00AC7C96" w:rsidRDefault="00AC7C96" w:rsidP="00AC7C96">
      <w:pPr>
        <w:ind w:left="720"/>
      </w:pPr>
      <w:r>
        <w:rPr>
          <w:b/>
        </w:rPr>
        <w:t>2023 – New Resident District Judge:</w:t>
      </w:r>
      <w:r>
        <w:t xml:space="preserve"> When the current </w:t>
      </w:r>
      <w:r w:rsidR="00F529C6">
        <w:t xml:space="preserve">District Judge </w:t>
      </w:r>
      <w:r>
        <w:t xml:space="preserve">in St. George takes senior status, the replacement </w:t>
      </w:r>
      <w:r w:rsidR="00F529C6">
        <w:t xml:space="preserve">District Judge </w:t>
      </w:r>
      <w:r>
        <w:t xml:space="preserve">will be sited in St. George. The new resident </w:t>
      </w:r>
      <w:r w:rsidR="00F529C6">
        <w:t xml:space="preserve">District Judge </w:t>
      </w:r>
      <w:r>
        <w:t>would have three law clerks and a courtroom deputy in St. George. The presence of a</w:t>
      </w:r>
      <w:r w:rsidR="00A51CDB">
        <w:t xml:space="preserve"> resident</w:t>
      </w:r>
      <w:r>
        <w:t xml:space="preserve"> active </w:t>
      </w:r>
      <w:r w:rsidR="00F529C6">
        <w:t xml:space="preserve">District Judge </w:t>
      </w:r>
      <w:r w:rsidR="00BC4DC2">
        <w:t xml:space="preserve">further </w:t>
      </w:r>
      <w:r>
        <w:t>confirms to the community, and to the legal community, that the district court is committed to full service in Southern Utah.</w:t>
      </w:r>
    </w:p>
    <w:p w:rsidR="00AC7C96" w:rsidRPr="00AC7C96" w:rsidRDefault="00AC7C96" w:rsidP="00AC7C96">
      <w:pPr>
        <w:ind w:left="720"/>
      </w:pPr>
      <w:r>
        <w:rPr>
          <w:b/>
        </w:rPr>
        <w:t xml:space="preserve">2023 – New Resident Bankruptcy Judge: </w:t>
      </w:r>
      <w:r w:rsidRPr="00AC7C96">
        <w:t>At the retirement of Bankruptcy Judge Kimball Mosier in 2023, his replacement will be resident in St. George, with some duties in Salt Lake City.</w:t>
      </w:r>
      <w:r>
        <w:t xml:space="preserve"> The presence of an active </w:t>
      </w:r>
      <w:r w:rsidR="00F13B94">
        <w:t xml:space="preserve">Bankruptcy Judge </w:t>
      </w:r>
      <w:r w:rsidR="00BC4DC2">
        <w:t xml:space="preserve">further </w:t>
      </w:r>
      <w:r>
        <w:t>confirms to the community, and to the legal community, that the court is committed to full service in Southern Utah.</w:t>
      </w:r>
    </w:p>
    <w:p w:rsidR="00AC7C96" w:rsidRDefault="00AC7C96" w:rsidP="00AC7C96">
      <w:pPr>
        <w:ind w:left="720"/>
      </w:pPr>
      <w:r>
        <w:rPr>
          <w:b/>
        </w:rPr>
        <w:t xml:space="preserve">Indefinite </w:t>
      </w:r>
      <w:r w:rsidR="00F13B94">
        <w:rPr>
          <w:b/>
        </w:rPr>
        <w:t>–</w:t>
      </w:r>
      <w:r>
        <w:rPr>
          <w:b/>
        </w:rPr>
        <w:t xml:space="preserve"> </w:t>
      </w:r>
      <w:r w:rsidRPr="00B421B6">
        <w:rPr>
          <w:b/>
        </w:rPr>
        <w:t>Grand Jury:</w:t>
      </w:r>
      <w:r>
        <w:t xml:space="preserve"> The new jury plan makes a Southern Region grand jury feasible. Currently, due to distance, residents of areas distant from Salt Lake City must sacrifice three days a week (six days a month) to serve on a grand jury rather than give one day for service like most grand jurors. </w:t>
      </w:r>
    </w:p>
    <w:p w:rsidR="00244B01" w:rsidRPr="00244B01" w:rsidRDefault="00030FC7" w:rsidP="00EA3396">
      <w:pPr>
        <w:pStyle w:val="Heading1"/>
      </w:pPr>
      <w:bookmarkStart w:id="5" w:name="_Toc1375338"/>
      <w:r w:rsidRPr="00244B01">
        <w:t>Limitations</w:t>
      </w:r>
      <w:r w:rsidR="00244B01" w:rsidRPr="00244B01">
        <w:t xml:space="preserve"> on </w:t>
      </w:r>
      <w:r w:rsidR="00C43D24">
        <w:t xml:space="preserve">Services and </w:t>
      </w:r>
      <w:r w:rsidR="00244B01" w:rsidRPr="00244B01">
        <w:t>Expansion of Services</w:t>
      </w:r>
      <w:bookmarkEnd w:id="5"/>
    </w:p>
    <w:p w:rsidR="00C43D24" w:rsidRDefault="00C43D24" w:rsidP="00F2468E">
      <w:pPr>
        <w:ind w:left="720"/>
      </w:pPr>
      <w:r>
        <w:t xml:space="preserve">Due to the limited nature of leased space in St. George and the limitations on use of that space, some services in Southern Utah are limited. </w:t>
      </w:r>
      <w:r w:rsidR="006C65A3">
        <w:t>The court is working to overcome these limitations.</w:t>
      </w:r>
    </w:p>
    <w:p w:rsidR="000732DA" w:rsidRDefault="00DE5D30" w:rsidP="00F2468E">
      <w:pPr>
        <w:ind w:left="720"/>
      </w:pPr>
      <w:r w:rsidRPr="00DE5D30">
        <w:rPr>
          <w:b/>
        </w:rPr>
        <w:t>One Courtroom:</w:t>
      </w:r>
      <w:r>
        <w:t xml:space="preserve"> Two court sessions cannot occur simultaneously. The current courtroom sharing schedule will not permit a criminal trial, civil trial or adversary proceeding to run longer </w:t>
      </w:r>
    </w:p>
    <w:p w:rsidR="000732DA" w:rsidRDefault="000732DA">
      <w:r>
        <w:br w:type="page"/>
      </w:r>
    </w:p>
    <w:p w:rsidR="00DE5D30" w:rsidRDefault="00DE5D30" w:rsidP="00F2468E">
      <w:pPr>
        <w:ind w:left="720"/>
      </w:pPr>
      <w:bookmarkStart w:id="6" w:name="_GoBack"/>
      <w:bookmarkEnd w:id="6"/>
      <w:r>
        <w:lastRenderedPageBreak/>
        <w:t>than five days.</w:t>
      </w:r>
      <w:r w:rsidR="00E33C40">
        <w:t xml:space="preserve"> The current courtroom reservation system has a few open days.</w:t>
      </w:r>
    </w:p>
    <w:tbl>
      <w:tblPr>
        <w:tblStyle w:val="TableGrid"/>
        <w:tblW w:w="0" w:type="auto"/>
        <w:tblInd w:w="1440" w:type="dxa"/>
        <w:tblLook w:val="04A0" w:firstRow="1" w:lastRow="0" w:firstColumn="1" w:lastColumn="0" w:noHBand="0" w:noVBand="1"/>
      </w:tblPr>
      <w:tblGrid>
        <w:gridCol w:w="1440"/>
        <w:gridCol w:w="1440"/>
        <w:gridCol w:w="1440"/>
        <w:gridCol w:w="1440"/>
        <w:gridCol w:w="1440"/>
      </w:tblGrid>
      <w:tr w:rsidR="00220225" w:rsidRPr="00356C7A" w:rsidTr="00220225">
        <w:tc>
          <w:tcPr>
            <w:tcW w:w="1440" w:type="dxa"/>
          </w:tcPr>
          <w:p w:rsidR="00220225" w:rsidRPr="00220225" w:rsidRDefault="00220225" w:rsidP="00F37632">
            <w:pPr>
              <w:jc w:val="center"/>
              <w:rPr>
                <w:rFonts w:asciiTheme="minorHAnsi" w:hAnsiTheme="minorHAnsi" w:cstheme="minorHAnsi"/>
                <w:b/>
                <w:sz w:val="20"/>
                <w:szCs w:val="24"/>
              </w:rPr>
            </w:pPr>
            <w:bookmarkStart w:id="7" w:name="_Hlk526233184"/>
            <w:r w:rsidRPr="00220225">
              <w:rPr>
                <w:rFonts w:asciiTheme="minorHAnsi" w:hAnsiTheme="minorHAnsi" w:cstheme="minorHAnsi"/>
                <w:b/>
                <w:sz w:val="20"/>
                <w:szCs w:val="24"/>
              </w:rPr>
              <w:t>Monday</w:t>
            </w:r>
          </w:p>
        </w:tc>
        <w:tc>
          <w:tcPr>
            <w:tcW w:w="1440" w:type="dxa"/>
          </w:tcPr>
          <w:p w:rsidR="00220225" w:rsidRPr="00220225" w:rsidRDefault="00220225" w:rsidP="00F37632">
            <w:pPr>
              <w:jc w:val="center"/>
              <w:rPr>
                <w:rFonts w:asciiTheme="minorHAnsi" w:hAnsiTheme="minorHAnsi" w:cstheme="minorHAnsi"/>
                <w:b/>
                <w:sz w:val="20"/>
                <w:szCs w:val="24"/>
              </w:rPr>
            </w:pPr>
            <w:r w:rsidRPr="00220225">
              <w:rPr>
                <w:rFonts w:asciiTheme="minorHAnsi" w:hAnsiTheme="minorHAnsi" w:cstheme="minorHAnsi"/>
                <w:b/>
                <w:sz w:val="20"/>
                <w:szCs w:val="24"/>
              </w:rPr>
              <w:t>Tuesday</w:t>
            </w:r>
          </w:p>
        </w:tc>
        <w:tc>
          <w:tcPr>
            <w:tcW w:w="1440" w:type="dxa"/>
          </w:tcPr>
          <w:p w:rsidR="00220225" w:rsidRPr="00220225" w:rsidRDefault="00220225" w:rsidP="00F37632">
            <w:pPr>
              <w:jc w:val="center"/>
              <w:rPr>
                <w:rFonts w:asciiTheme="minorHAnsi" w:hAnsiTheme="minorHAnsi" w:cstheme="minorHAnsi"/>
                <w:b/>
                <w:sz w:val="20"/>
                <w:szCs w:val="24"/>
              </w:rPr>
            </w:pPr>
            <w:r w:rsidRPr="00220225">
              <w:rPr>
                <w:rFonts w:asciiTheme="minorHAnsi" w:hAnsiTheme="minorHAnsi" w:cstheme="minorHAnsi"/>
                <w:b/>
                <w:sz w:val="20"/>
                <w:szCs w:val="24"/>
              </w:rPr>
              <w:t>Wednesday</w:t>
            </w:r>
          </w:p>
        </w:tc>
        <w:tc>
          <w:tcPr>
            <w:tcW w:w="1440" w:type="dxa"/>
          </w:tcPr>
          <w:p w:rsidR="00220225" w:rsidRPr="00220225" w:rsidRDefault="00220225" w:rsidP="00F37632">
            <w:pPr>
              <w:jc w:val="center"/>
              <w:rPr>
                <w:rFonts w:asciiTheme="minorHAnsi" w:hAnsiTheme="minorHAnsi" w:cstheme="minorHAnsi"/>
                <w:b/>
                <w:sz w:val="20"/>
                <w:szCs w:val="24"/>
              </w:rPr>
            </w:pPr>
            <w:r w:rsidRPr="00220225">
              <w:rPr>
                <w:rFonts w:asciiTheme="minorHAnsi" w:hAnsiTheme="minorHAnsi" w:cstheme="minorHAnsi"/>
                <w:b/>
                <w:sz w:val="20"/>
                <w:szCs w:val="24"/>
              </w:rPr>
              <w:t>Thursday</w:t>
            </w:r>
          </w:p>
        </w:tc>
        <w:tc>
          <w:tcPr>
            <w:tcW w:w="1440" w:type="dxa"/>
          </w:tcPr>
          <w:p w:rsidR="00220225" w:rsidRPr="00220225" w:rsidRDefault="00220225" w:rsidP="00F37632">
            <w:pPr>
              <w:jc w:val="center"/>
              <w:rPr>
                <w:rFonts w:asciiTheme="minorHAnsi" w:hAnsiTheme="minorHAnsi" w:cstheme="minorHAnsi"/>
                <w:b/>
                <w:sz w:val="20"/>
                <w:szCs w:val="24"/>
              </w:rPr>
            </w:pPr>
            <w:r w:rsidRPr="00220225">
              <w:rPr>
                <w:rFonts w:asciiTheme="minorHAnsi" w:hAnsiTheme="minorHAnsi" w:cstheme="minorHAnsi"/>
                <w:b/>
                <w:sz w:val="20"/>
                <w:szCs w:val="24"/>
              </w:rPr>
              <w:t>Friday</w:t>
            </w:r>
          </w:p>
        </w:tc>
      </w:tr>
      <w:tr w:rsidR="00220225" w:rsidRPr="00356C7A" w:rsidTr="00220225">
        <w:tc>
          <w:tcPr>
            <w:tcW w:w="1440" w:type="dxa"/>
          </w:tcPr>
          <w:p w:rsidR="00220225" w:rsidRPr="00220225" w:rsidRDefault="00220225" w:rsidP="00F37632">
            <w:pPr>
              <w:rPr>
                <w:rFonts w:asciiTheme="minorHAnsi" w:hAnsiTheme="minorHAnsi" w:cstheme="minorHAnsi"/>
                <w:sz w:val="20"/>
                <w:szCs w:val="24"/>
              </w:rPr>
            </w:pPr>
            <w:bookmarkStart w:id="8" w:name="_Hlk526233170"/>
            <w:r w:rsidRPr="00220225">
              <w:rPr>
                <w:rFonts w:asciiTheme="minorHAnsi" w:hAnsiTheme="minorHAnsi" w:cstheme="minorHAnsi"/>
                <w:sz w:val="20"/>
                <w:szCs w:val="24"/>
              </w:rPr>
              <w:t>Magistrate Judge Criminal</w:t>
            </w:r>
          </w:p>
        </w:tc>
        <w:tc>
          <w:tcPr>
            <w:tcW w:w="1440" w:type="dxa"/>
          </w:tcPr>
          <w:p w:rsidR="00220225" w:rsidRPr="00220225" w:rsidRDefault="00220225" w:rsidP="00F37632">
            <w:pPr>
              <w:rPr>
                <w:rFonts w:asciiTheme="minorHAnsi" w:hAnsiTheme="minorHAnsi" w:cstheme="minorHAnsi"/>
                <w:sz w:val="20"/>
                <w:szCs w:val="24"/>
              </w:rPr>
            </w:pPr>
            <w:r w:rsidRPr="00220225">
              <w:rPr>
                <w:rFonts w:asciiTheme="minorHAnsi" w:hAnsiTheme="minorHAnsi" w:cstheme="minorHAnsi"/>
                <w:sz w:val="20"/>
                <w:szCs w:val="24"/>
              </w:rPr>
              <w:t>Criminal Hearings and Sentencings</w:t>
            </w:r>
          </w:p>
        </w:tc>
        <w:tc>
          <w:tcPr>
            <w:tcW w:w="1440" w:type="dxa"/>
          </w:tcPr>
          <w:p w:rsidR="00220225" w:rsidRPr="00220225" w:rsidRDefault="00220225" w:rsidP="00F37632">
            <w:pPr>
              <w:rPr>
                <w:rFonts w:asciiTheme="minorHAnsi" w:hAnsiTheme="minorHAnsi" w:cstheme="minorHAnsi"/>
                <w:sz w:val="20"/>
                <w:szCs w:val="24"/>
              </w:rPr>
            </w:pPr>
            <w:r w:rsidRPr="00220225">
              <w:rPr>
                <w:rFonts w:asciiTheme="minorHAnsi" w:hAnsiTheme="minorHAnsi" w:cstheme="minorHAnsi"/>
                <w:sz w:val="20"/>
                <w:szCs w:val="24"/>
              </w:rPr>
              <w:t>Criminal Hearings and Sentencings</w:t>
            </w:r>
          </w:p>
        </w:tc>
        <w:tc>
          <w:tcPr>
            <w:tcW w:w="1440" w:type="dxa"/>
          </w:tcPr>
          <w:p w:rsidR="00220225" w:rsidRPr="00220225" w:rsidRDefault="00220225" w:rsidP="00F37632">
            <w:pPr>
              <w:rPr>
                <w:rFonts w:asciiTheme="minorHAnsi" w:hAnsiTheme="minorHAnsi" w:cstheme="minorHAnsi"/>
                <w:sz w:val="20"/>
                <w:szCs w:val="24"/>
              </w:rPr>
            </w:pPr>
            <w:r w:rsidRPr="00220225">
              <w:rPr>
                <w:rFonts w:asciiTheme="minorHAnsi" w:hAnsiTheme="minorHAnsi" w:cstheme="minorHAnsi"/>
                <w:sz w:val="20"/>
                <w:szCs w:val="24"/>
              </w:rPr>
              <w:t xml:space="preserve">Civil Hearings and </w:t>
            </w:r>
            <w:proofErr w:type="spellStart"/>
            <w:r w:rsidRPr="00220225">
              <w:rPr>
                <w:rFonts w:asciiTheme="minorHAnsi" w:hAnsiTheme="minorHAnsi" w:cstheme="minorHAnsi"/>
                <w:sz w:val="20"/>
                <w:szCs w:val="24"/>
              </w:rPr>
              <w:t>Pretrials</w:t>
            </w:r>
            <w:proofErr w:type="spellEnd"/>
          </w:p>
        </w:tc>
        <w:tc>
          <w:tcPr>
            <w:tcW w:w="1440" w:type="dxa"/>
          </w:tcPr>
          <w:p w:rsidR="00220225" w:rsidRPr="00220225" w:rsidRDefault="00220225" w:rsidP="00F37632">
            <w:pPr>
              <w:rPr>
                <w:rFonts w:asciiTheme="minorHAnsi" w:hAnsiTheme="minorHAnsi" w:cstheme="minorHAnsi"/>
                <w:sz w:val="20"/>
                <w:szCs w:val="24"/>
              </w:rPr>
            </w:pPr>
            <w:r w:rsidRPr="00220225">
              <w:rPr>
                <w:rFonts w:asciiTheme="minorHAnsi" w:hAnsiTheme="minorHAnsi" w:cstheme="minorHAnsi"/>
                <w:sz w:val="20"/>
                <w:szCs w:val="24"/>
              </w:rPr>
              <w:t xml:space="preserve">Civil Hearings and </w:t>
            </w:r>
            <w:proofErr w:type="spellStart"/>
            <w:r w:rsidRPr="00220225">
              <w:rPr>
                <w:rFonts w:asciiTheme="minorHAnsi" w:hAnsiTheme="minorHAnsi" w:cstheme="minorHAnsi"/>
                <w:sz w:val="20"/>
                <w:szCs w:val="24"/>
              </w:rPr>
              <w:t>Pretrials</w:t>
            </w:r>
            <w:proofErr w:type="spellEnd"/>
          </w:p>
        </w:tc>
      </w:tr>
      <w:tr w:rsidR="00220225" w:rsidRPr="00356C7A" w:rsidTr="00220225">
        <w:tc>
          <w:tcPr>
            <w:tcW w:w="1440" w:type="dxa"/>
          </w:tcPr>
          <w:p w:rsidR="00220225" w:rsidRDefault="00220225" w:rsidP="00F37632">
            <w:pPr>
              <w:rPr>
                <w:rFonts w:asciiTheme="minorHAnsi" w:hAnsiTheme="minorHAnsi" w:cstheme="minorHAnsi"/>
                <w:sz w:val="20"/>
                <w:szCs w:val="24"/>
              </w:rPr>
            </w:pPr>
            <w:r w:rsidRPr="00220225">
              <w:rPr>
                <w:rFonts w:asciiTheme="minorHAnsi" w:hAnsiTheme="minorHAnsi" w:cstheme="minorHAnsi"/>
                <w:sz w:val="20"/>
                <w:szCs w:val="24"/>
              </w:rPr>
              <w:t>Magistrate Judge Criminal</w:t>
            </w:r>
          </w:p>
          <w:p w:rsidR="00220225" w:rsidRPr="00220225" w:rsidRDefault="00220225" w:rsidP="00F37632">
            <w:pPr>
              <w:rPr>
                <w:rFonts w:asciiTheme="minorHAnsi" w:hAnsiTheme="minorHAnsi" w:cstheme="minorHAnsi"/>
                <w:b/>
                <w:sz w:val="20"/>
                <w:szCs w:val="24"/>
              </w:rPr>
            </w:pPr>
          </w:p>
        </w:tc>
        <w:tc>
          <w:tcPr>
            <w:tcW w:w="1440" w:type="dxa"/>
          </w:tcPr>
          <w:p w:rsidR="00220225" w:rsidRPr="00220225" w:rsidRDefault="00220225" w:rsidP="00F37632">
            <w:pPr>
              <w:rPr>
                <w:rFonts w:asciiTheme="minorHAnsi" w:hAnsiTheme="minorHAnsi" w:cstheme="minorHAnsi"/>
                <w:sz w:val="20"/>
                <w:szCs w:val="24"/>
              </w:rPr>
            </w:pPr>
          </w:p>
        </w:tc>
        <w:tc>
          <w:tcPr>
            <w:tcW w:w="1440" w:type="dxa"/>
          </w:tcPr>
          <w:p w:rsidR="00220225" w:rsidRPr="00220225" w:rsidRDefault="00220225" w:rsidP="00F37632">
            <w:pPr>
              <w:rPr>
                <w:rFonts w:asciiTheme="minorHAnsi" w:hAnsiTheme="minorHAnsi" w:cstheme="minorHAnsi"/>
                <w:sz w:val="20"/>
                <w:szCs w:val="24"/>
              </w:rPr>
            </w:pPr>
          </w:p>
        </w:tc>
        <w:tc>
          <w:tcPr>
            <w:tcW w:w="1440" w:type="dxa"/>
          </w:tcPr>
          <w:p w:rsidR="00220225" w:rsidRPr="00220225" w:rsidRDefault="00220225" w:rsidP="00F37632">
            <w:pPr>
              <w:rPr>
                <w:rFonts w:asciiTheme="minorHAnsi" w:hAnsiTheme="minorHAnsi" w:cstheme="minorHAnsi"/>
                <w:sz w:val="20"/>
                <w:szCs w:val="24"/>
              </w:rPr>
            </w:pPr>
            <w:r w:rsidRPr="00220225">
              <w:rPr>
                <w:rFonts w:asciiTheme="minorHAnsi" w:hAnsiTheme="minorHAnsi" w:cstheme="minorHAnsi"/>
                <w:sz w:val="20"/>
                <w:szCs w:val="24"/>
              </w:rPr>
              <w:t>Bankruptcy</w:t>
            </w:r>
          </w:p>
        </w:tc>
        <w:tc>
          <w:tcPr>
            <w:tcW w:w="1440" w:type="dxa"/>
          </w:tcPr>
          <w:p w:rsidR="00220225" w:rsidRPr="00220225" w:rsidRDefault="00220225" w:rsidP="00F37632">
            <w:pPr>
              <w:rPr>
                <w:rFonts w:asciiTheme="minorHAnsi" w:hAnsiTheme="minorHAnsi" w:cstheme="minorHAnsi"/>
                <w:sz w:val="20"/>
                <w:szCs w:val="24"/>
              </w:rPr>
            </w:pPr>
            <w:r w:rsidRPr="00220225">
              <w:rPr>
                <w:rFonts w:asciiTheme="minorHAnsi" w:hAnsiTheme="minorHAnsi" w:cstheme="minorHAnsi"/>
                <w:sz w:val="20"/>
                <w:szCs w:val="24"/>
              </w:rPr>
              <w:t>Bankruptcy</w:t>
            </w:r>
          </w:p>
        </w:tc>
      </w:tr>
      <w:tr w:rsidR="00220225" w:rsidRPr="00356C7A" w:rsidTr="00220225">
        <w:tc>
          <w:tcPr>
            <w:tcW w:w="1440" w:type="dxa"/>
          </w:tcPr>
          <w:p w:rsidR="00220225" w:rsidRDefault="00220225" w:rsidP="00220225">
            <w:pPr>
              <w:rPr>
                <w:rFonts w:asciiTheme="minorHAnsi" w:hAnsiTheme="minorHAnsi" w:cstheme="minorHAnsi"/>
                <w:sz w:val="20"/>
                <w:szCs w:val="24"/>
              </w:rPr>
            </w:pPr>
            <w:r w:rsidRPr="00220225">
              <w:rPr>
                <w:rFonts w:asciiTheme="minorHAnsi" w:hAnsiTheme="minorHAnsi" w:cstheme="minorHAnsi"/>
                <w:sz w:val="20"/>
                <w:szCs w:val="24"/>
              </w:rPr>
              <w:t>Magistrate Judge Criminal</w:t>
            </w:r>
          </w:p>
          <w:p w:rsidR="00220225" w:rsidRPr="00220225" w:rsidRDefault="00220225" w:rsidP="00220225">
            <w:pPr>
              <w:rPr>
                <w:rFonts w:asciiTheme="minorHAnsi" w:hAnsiTheme="minorHAnsi" w:cstheme="minorHAnsi"/>
                <w:i/>
                <w:sz w:val="20"/>
                <w:szCs w:val="24"/>
              </w:rPr>
            </w:pPr>
          </w:p>
        </w:tc>
        <w:tc>
          <w:tcPr>
            <w:tcW w:w="1440" w:type="dxa"/>
          </w:tcPr>
          <w:p w:rsidR="00220225" w:rsidRPr="00220225" w:rsidRDefault="00220225" w:rsidP="00F37632">
            <w:pPr>
              <w:rPr>
                <w:rFonts w:asciiTheme="minorHAnsi" w:hAnsiTheme="minorHAnsi" w:cstheme="minorHAnsi"/>
                <w:sz w:val="20"/>
                <w:szCs w:val="24"/>
              </w:rPr>
            </w:pPr>
            <w:r w:rsidRPr="00220225">
              <w:rPr>
                <w:rFonts w:asciiTheme="minorHAnsi" w:hAnsiTheme="minorHAnsi" w:cstheme="minorHAnsi"/>
                <w:sz w:val="20"/>
                <w:szCs w:val="24"/>
              </w:rPr>
              <w:t>Trials and other Hearings</w:t>
            </w:r>
          </w:p>
        </w:tc>
        <w:tc>
          <w:tcPr>
            <w:tcW w:w="1440" w:type="dxa"/>
          </w:tcPr>
          <w:p w:rsidR="00220225" w:rsidRPr="00220225" w:rsidRDefault="00220225" w:rsidP="00F37632">
            <w:pPr>
              <w:rPr>
                <w:rFonts w:asciiTheme="minorHAnsi" w:hAnsiTheme="minorHAnsi" w:cstheme="minorHAnsi"/>
                <w:sz w:val="20"/>
                <w:szCs w:val="24"/>
              </w:rPr>
            </w:pPr>
            <w:r w:rsidRPr="00220225">
              <w:rPr>
                <w:rFonts w:asciiTheme="minorHAnsi" w:hAnsiTheme="minorHAnsi" w:cstheme="minorHAnsi"/>
                <w:sz w:val="20"/>
                <w:szCs w:val="24"/>
              </w:rPr>
              <w:t>Trials and other Hearings</w:t>
            </w:r>
          </w:p>
        </w:tc>
        <w:tc>
          <w:tcPr>
            <w:tcW w:w="1440" w:type="dxa"/>
          </w:tcPr>
          <w:p w:rsidR="00220225" w:rsidRPr="00220225" w:rsidRDefault="00220225" w:rsidP="00F37632">
            <w:pPr>
              <w:rPr>
                <w:rFonts w:asciiTheme="minorHAnsi" w:hAnsiTheme="minorHAnsi" w:cstheme="minorHAnsi"/>
                <w:sz w:val="20"/>
                <w:szCs w:val="24"/>
              </w:rPr>
            </w:pPr>
            <w:r w:rsidRPr="00220225">
              <w:rPr>
                <w:rFonts w:asciiTheme="minorHAnsi" w:hAnsiTheme="minorHAnsi" w:cstheme="minorHAnsi"/>
                <w:sz w:val="20"/>
                <w:szCs w:val="24"/>
              </w:rPr>
              <w:t>Trials and other Hearings</w:t>
            </w:r>
          </w:p>
        </w:tc>
        <w:tc>
          <w:tcPr>
            <w:tcW w:w="1440" w:type="dxa"/>
          </w:tcPr>
          <w:p w:rsidR="00220225" w:rsidRPr="00220225" w:rsidRDefault="00220225" w:rsidP="00F37632">
            <w:pPr>
              <w:rPr>
                <w:rFonts w:asciiTheme="minorHAnsi" w:hAnsiTheme="minorHAnsi" w:cstheme="minorHAnsi"/>
                <w:sz w:val="20"/>
                <w:szCs w:val="24"/>
              </w:rPr>
            </w:pPr>
            <w:r w:rsidRPr="00220225">
              <w:rPr>
                <w:rFonts w:asciiTheme="minorHAnsi" w:hAnsiTheme="minorHAnsi" w:cstheme="minorHAnsi"/>
                <w:sz w:val="20"/>
                <w:szCs w:val="24"/>
              </w:rPr>
              <w:t>Trials and other Hearings</w:t>
            </w:r>
          </w:p>
        </w:tc>
      </w:tr>
      <w:bookmarkEnd w:id="8"/>
      <w:tr w:rsidR="00220225" w:rsidRPr="00356C7A" w:rsidTr="00220225">
        <w:tc>
          <w:tcPr>
            <w:tcW w:w="1440" w:type="dxa"/>
          </w:tcPr>
          <w:p w:rsidR="00220225" w:rsidRPr="00220225" w:rsidRDefault="00220225" w:rsidP="00F37632">
            <w:pPr>
              <w:rPr>
                <w:rFonts w:asciiTheme="minorHAnsi" w:hAnsiTheme="minorHAnsi" w:cstheme="minorHAnsi"/>
                <w:sz w:val="20"/>
                <w:szCs w:val="24"/>
              </w:rPr>
            </w:pPr>
            <w:r w:rsidRPr="00220225">
              <w:rPr>
                <w:rFonts w:asciiTheme="minorHAnsi" w:hAnsiTheme="minorHAnsi" w:cstheme="minorHAnsi"/>
                <w:sz w:val="20"/>
                <w:szCs w:val="24"/>
              </w:rPr>
              <w:t>Magistrate Judge CVB and Criminal</w:t>
            </w:r>
          </w:p>
        </w:tc>
        <w:tc>
          <w:tcPr>
            <w:tcW w:w="1440" w:type="dxa"/>
          </w:tcPr>
          <w:p w:rsidR="00220225" w:rsidRPr="00220225" w:rsidRDefault="00220225" w:rsidP="00F37632">
            <w:pPr>
              <w:rPr>
                <w:rFonts w:asciiTheme="minorHAnsi" w:hAnsiTheme="minorHAnsi" w:cstheme="minorHAnsi"/>
                <w:sz w:val="20"/>
                <w:szCs w:val="24"/>
              </w:rPr>
            </w:pPr>
          </w:p>
        </w:tc>
        <w:tc>
          <w:tcPr>
            <w:tcW w:w="1440" w:type="dxa"/>
          </w:tcPr>
          <w:p w:rsidR="00220225" w:rsidRPr="00220225" w:rsidRDefault="00220225" w:rsidP="00F37632">
            <w:pPr>
              <w:rPr>
                <w:rFonts w:asciiTheme="minorHAnsi" w:hAnsiTheme="minorHAnsi" w:cstheme="minorHAnsi"/>
                <w:sz w:val="20"/>
                <w:szCs w:val="24"/>
              </w:rPr>
            </w:pPr>
          </w:p>
        </w:tc>
        <w:tc>
          <w:tcPr>
            <w:tcW w:w="1440" w:type="dxa"/>
          </w:tcPr>
          <w:p w:rsidR="00220225" w:rsidRPr="00220225" w:rsidRDefault="00220225" w:rsidP="00F37632">
            <w:pPr>
              <w:rPr>
                <w:rFonts w:asciiTheme="minorHAnsi" w:hAnsiTheme="minorHAnsi" w:cstheme="minorHAnsi"/>
                <w:sz w:val="20"/>
                <w:szCs w:val="24"/>
              </w:rPr>
            </w:pPr>
            <w:r w:rsidRPr="00220225">
              <w:rPr>
                <w:rFonts w:asciiTheme="minorHAnsi" w:hAnsiTheme="minorHAnsi" w:cstheme="minorHAnsi"/>
                <w:sz w:val="20"/>
                <w:szCs w:val="24"/>
              </w:rPr>
              <w:t>Bankruptcy</w:t>
            </w:r>
          </w:p>
        </w:tc>
        <w:tc>
          <w:tcPr>
            <w:tcW w:w="1440" w:type="dxa"/>
          </w:tcPr>
          <w:p w:rsidR="00220225" w:rsidRPr="00220225" w:rsidRDefault="00220225" w:rsidP="00F37632">
            <w:pPr>
              <w:rPr>
                <w:rFonts w:asciiTheme="minorHAnsi" w:hAnsiTheme="minorHAnsi" w:cstheme="minorHAnsi"/>
                <w:sz w:val="20"/>
                <w:szCs w:val="24"/>
              </w:rPr>
            </w:pPr>
            <w:r w:rsidRPr="00220225">
              <w:rPr>
                <w:rFonts w:asciiTheme="minorHAnsi" w:hAnsiTheme="minorHAnsi" w:cstheme="minorHAnsi"/>
                <w:sz w:val="20"/>
                <w:szCs w:val="24"/>
              </w:rPr>
              <w:t>Bankruptcy</w:t>
            </w:r>
          </w:p>
        </w:tc>
      </w:tr>
      <w:bookmarkEnd w:id="7"/>
    </w:tbl>
    <w:p w:rsidR="00220225" w:rsidRDefault="00220225" w:rsidP="00220225">
      <w:pPr>
        <w:spacing w:after="0" w:line="240" w:lineRule="auto"/>
        <w:ind w:left="720"/>
        <w:rPr>
          <w:b/>
        </w:rPr>
      </w:pPr>
    </w:p>
    <w:p w:rsidR="004D2581" w:rsidRDefault="004D2581" w:rsidP="00F2468E">
      <w:pPr>
        <w:ind w:left="720"/>
      </w:pPr>
      <w:r>
        <w:rPr>
          <w:b/>
        </w:rPr>
        <w:t xml:space="preserve">No Leased Jury Orientation or Deliberation Space: </w:t>
      </w:r>
      <w:r>
        <w:t xml:space="preserve">The current lease includes no space for jury orientation or deliberation. The state spaces are available on a courtesy basis but because the state </w:t>
      </w:r>
      <w:r w:rsidR="00F5351B">
        <w:t xml:space="preserve">court </w:t>
      </w:r>
      <w:r>
        <w:t>has priority</w:t>
      </w:r>
      <w:r w:rsidR="00F5351B">
        <w:t>,</w:t>
      </w:r>
      <w:r>
        <w:t xml:space="preserve"> scheduling trials is always uncertain, or subject to a late start on the day of orientation. The jury deliberation space seats </w:t>
      </w:r>
      <w:r w:rsidR="00BC4DC2">
        <w:t>eight</w:t>
      </w:r>
      <w:r>
        <w:t>, consistent with state practice, but is no</w:t>
      </w:r>
      <w:r w:rsidR="00A51CDB">
        <w:t>t</w:t>
      </w:r>
      <w:r>
        <w:t xml:space="preserve"> adequate for a </w:t>
      </w:r>
      <w:r w:rsidR="006C65A3">
        <w:t>federal</w:t>
      </w:r>
      <w:r>
        <w:t xml:space="preserve"> criminal jury</w:t>
      </w:r>
      <w:r w:rsidR="006C65A3">
        <w:t xml:space="preserve"> of 12 persons</w:t>
      </w:r>
      <w:r>
        <w:t xml:space="preserve">, especially if </w:t>
      </w:r>
      <w:r w:rsidR="006C65A3">
        <w:t>one or more</w:t>
      </w:r>
      <w:r>
        <w:t xml:space="preserve"> alternate</w:t>
      </w:r>
      <w:r w:rsidR="006C65A3">
        <w:t xml:space="preserve">s are </w:t>
      </w:r>
      <w:r>
        <w:t>seated.</w:t>
      </w:r>
      <w:r w:rsidR="00F5351B">
        <w:t xml:space="preserve"> The single restroom provided in </w:t>
      </w:r>
      <w:r w:rsidR="00EA3396">
        <w:t xml:space="preserve">the </w:t>
      </w:r>
      <w:r w:rsidR="00F5351B">
        <w:t>state jury space i</w:t>
      </w:r>
      <w:r w:rsidR="006C65A3">
        <w:t>s i</w:t>
      </w:r>
      <w:r w:rsidR="00F5351B">
        <w:t>nadequate</w:t>
      </w:r>
      <w:r w:rsidR="006C65A3">
        <w:t xml:space="preserve"> for such a large jury</w:t>
      </w:r>
      <w:r w:rsidR="00F5351B">
        <w:t>.</w:t>
      </w:r>
    </w:p>
    <w:p w:rsidR="00DE5D30" w:rsidRDefault="00DE5D30" w:rsidP="00F2468E">
      <w:pPr>
        <w:ind w:left="720"/>
      </w:pPr>
      <w:r>
        <w:rPr>
          <w:b/>
        </w:rPr>
        <w:t>Limited Hours:</w:t>
      </w:r>
      <w:r>
        <w:t xml:space="preserve"> </w:t>
      </w:r>
      <w:r w:rsidRPr="00DE5D30">
        <w:t>The state courthouse does not open to the public (or jurors) before 8:00 a</w:t>
      </w:r>
      <w:r w:rsidR="00F13B94">
        <w:t>.</w:t>
      </w:r>
      <w:r w:rsidRPr="00DE5D30">
        <w:t>m</w:t>
      </w:r>
      <w:r w:rsidR="00F13B94">
        <w:t>.</w:t>
      </w:r>
      <w:r w:rsidRPr="00DE5D30">
        <w:t xml:space="preserve"> or after 5:00 p.m. After</w:t>
      </w:r>
      <w:r w:rsidR="00F5351B">
        <w:t>-</w:t>
      </w:r>
      <w:r w:rsidRPr="00DE5D30">
        <w:t>hours</w:t>
      </w:r>
      <w:r w:rsidR="006C65A3">
        <w:t xml:space="preserve"> hearings,</w:t>
      </w:r>
      <w:r w:rsidRPr="00DE5D30">
        <w:t xml:space="preserve"> testimony or </w:t>
      </w:r>
      <w:r w:rsidR="006C65A3">
        <w:t xml:space="preserve">jury </w:t>
      </w:r>
      <w:r w:rsidRPr="00DE5D30">
        <w:t xml:space="preserve">deliberation </w:t>
      </w:r>
      <w:r w:rsidR="006C65A3">
        <w:t>are</w:t>
      </w:r>
      <w:r w:rsidRPr="00DE5D30">
        <w:t xml:space="preserve"> not </w:t>
      </w:r>
      <w:r>
        <w:t xml:space="preserve">permitted. </w:t>
      </w:r>
    </w:p>
    <w:p w:rsidR="00244B01" w:rsidRDefault="00DE5D30" w:rsidP="00F2468E">
      <w:pPr>
        <w:ind w:left="720"/>
      </w:pPr>
      <w:r>
        <w:rPr>
          <w:b/>
        </w:rPr>
        <w:t>Staff Space:</w:t>
      </w:r>
      <w:r>
        <w:t xml:space="preserve"> The</w:t>
      </w:r>
      <w:r w:rsidR="00F5351B">
        <w:t xml:space="preserve"> court has</w:t>
      </w:r>
      <w:r>
        <w:t xml:space="preserve"> no leased space for law clerk staff, or court staff beyond two persons, to work in St. George. On days when jury staff, IT staff, law clerks or others are present, there is only one available workstation. The law clerk currently residing in St. George is housed in space not leased to the court.</w:t>
      </w:r>
    </w:p>
    <w:p w:rsidR="00E8202F" w:rsidRDefault="00E8202F" w:rsidP="00F2468E">
      <w:pPr>
        <w:ind w:left="720"/>
      </w:pPr>
      <w:r w:rsidRPr="00E8202F">
        <w:rPr>
          <w:b/>
        </w:rPr>
        <w:t xml:space="preserve">Judge Office Sharing: </w:t>
      </w:r>
      <w:r>
        <w:t xml:space="preserve">Currently, the </w:t>
      </w:r>
      <w:r w:rsidR="00F13B94">
        <w:t xml:space="preserve">Magistrate Judge </w:t>
      </w:r>
      <w:r w:rsidR="008175C2">
        <w:t>has</w:t>
      </w:r>
      <w:r>
        <w:t xml:space="preserve"> a dedicated office, and the </w:t>
      </w:r>
      <w:r w:rsidR="00F13B94">
        <w:t xml:space="preserve">District Judge </w:t>
      </w:r>
      <w:r>
        <w:t xml:space="preserve">and </w:t>
      </w:r>
      <w:r w:rsidR="00F13B94">
        <w:t xml:space="preserve">Bankruptcy Judge </w:t>
      </w:r>
      <w:r>
        <w:t>will share an office</w:t>
      </w:r>
      <w:r w:rsidR="006C65A3">
        <w:t>, with the limitations on concurrent work</w:t>
      </w:r>
      <w:r>
        <w:t>.</w:t>
      </w:r>
    </w:p>
    <w:p w:rsidR="00A51CDB" w:rsidRDefault="00A51CDB" w:rsidP="00F2468E">
      <w:pPr>
        <w:ind w:left="720"/>
      </w:pPr>
      <w:r>
        <w:rPr>
          <w:b/>
        </w:rPr>
        <w:t xml:space="preserve">No Trial Office for Counsel: </w:t>
      </w:r>
      <w:r>
        <w:t xml:space="preserve">While the current leased space has </w:t>
      </w:r>
      <w:r w:rsidR="006C65A3">
        <w:t>room</w:t>
      </w:r>
      <w:r>
        <w:t xml:space="preserve"> for attorney and witness consultation, there is no secure space for the U</w:t>
      </w:r>
      <w:r w:rsidR="00F13B94">
        <w:t xml:space="preserve">nited </w:t>
      </w:r>
      <w:r>
        <w:t>S</w:t>
      </w:r>
      <w:r w:rsidR="00F13B94">
        <w:t>tates</w:t>
      </w:r>
      <w:r>
        <w:t xml:space="preserve"> Attorney or Defenders to base operations in the courthouse during trials.</w:t>
      </w:r>
    </w:p>
    <w:p w:rsidR="008175C2" w:rsidRPr="008175C2" w:rsidRDefault="008175C2" w:rsidP="00F2468E">
      <w:pPr>
        <w:ind w:left="720"/>
      </w:pPr>
      <w:r>
        <w:rPr>
          <w:b/>
        </w:rPr>
        <w:t xml:space="preserve">No Space for Pretrial and Probation Officers: </w:t>
      </w:r>
      <w:r>
        <w:t>Pretrial and Probation officers have no dedicated space in the current leased space.</w:t>
      </w:r>
    </w:p>
    <w:p w:rsidR="004A1EF5" w:rsidRPr="000C5F3D" w:rsidRDefault="00F5351B" w:rsidP="00EA3396">
      <w:pPr>
        <w:pStyle w:val="Heading1"/>
      </w:pPr>
      <w:bookmarkStart w:id="9" w:name="_Toc1375339"/>
      <w:r w:rsidRPr="000C5F3D">
        <w:t>Conclusion</w:t>
      </w:r>
      <w:bookmarkEnd w:id="9"/>
    </w:p>
    <w:p w:rsidR="00F5351B" w:rsidRDefault="00F5351B" w:rsidP="00F5351B">
      <w:pPr>
        <w:ind w:left="720"/>
      </w:pPr>
      <w:r>
        <w:t>The court has made significant progress in the two decades since initiating court services in Southern Utah. With the recent and upcoming changes, court services will expand to better meet the needs of th</w:t>
      </w:r>
      <w:r w:rsidR="00220225">
        <w:t xml:space="preserve">is rapidly </w:t>
      </w:r>
      <w:r>
        <w:t xml:space="preserve">growing part of Utah, </w:t>
      </w:r>
      <w:r w:rsidR="00220225">
        <w:t>far from the Wasatch Front</w:t>
      </w:r>
      <w:r>
        <w:t xml:space="preserve">. </w:t>
      </w:r>
      <w:r w:rsidR="000C5F3D">
        <w:t xml:space="preserve">Though limitations are present, solutions will </w:t>
      </w:r>
      <w:r w:rsidR="00220225">
        <w:t xml:space="preserve">likely </w:t>
      </w:r>
      <w:r w:rsidR="000C5F3D">
        <w:t xml:space="preserve">enable continuation </w:t>
      </w:r>
      <w:r w:rsidR="00220225">
        <w:t xml:space="preserve">and expansion </w:t>
      </w:r>
      <w:r w:rsidR="000C5F3D">
        <w:t>of services.</w:t>
      </w:r>
    </w:p>
    <w:sectPr w:rsidR="00F5351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1C09" w:rsidRDefault="009E1C09" w:rsidP="00F7166E">
      <w:pPr>
        <w:spacing w:after="0" w:line="240" w:lineRule="auto"/>
      </w:pPr>
      <w:r>
        <w:separator/>
      </w:r>
    </w:p>
  </w:endnote>
  <w:endnote w:type="continuationSeparator" w:id="0">
    <w:p w:rsidR="009E1C09" w:rsidRDefault="009E1C09" w:rsidP="00F71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2DAE" w:rsidRDefault="00192D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3607181"/>
      <w:docPartObj>
        <w:docPartGallery w:val="Page Numbers (Bottom of Page)"/>
        <w:docPartUnique/>
      </w:docPartObj>
    </w:sdtPr>
    <w:sdtEndPr>
      <w:rPr>
        <w:noProof/>
        <w:sz w:val="18"/>
      </w:rPr>
    </w:sdtEndPr>
    <w:sdtContent>
      <w:p w:rsidR="00A51CDB" w:rsidRPr="00A51CDB" w:rsidRDefault="00A51CDB" w:rsidP="00A51CDB">
        <w:pPr>
          <w:pStyle w:val="Footer"/>
          <w:jc w:val="right"/>
          <w:rPr>
            <w:sz w:val="18"/>
          </w:rPr>
        </w:pPr>
        <w:r w:rsidRPr="00A51CDB">
          <w:rPr>
            <w:sz w:val="18"/>
          </w:rPr>
          <w:fldChar w:fldCharType="begin"/>
        </w:r>
        <w:r w:rsidRPr="00A51CDB">
          <w:rPr>
            <w:sz w:val="18"/>
          </w:rPr>
          <w:instrText xml:space="preserve"> PAGE   \* MERGEFORMAT </w:instrText>
        </w:r>
        <w:r w:rsidRPr="00A51CDB">
          <w:rPr>
            <w:sz w:val="18"/>
          </w:rPr>
          <w:fldChar w:fldCharType="separate"/>
        </w:r>
        <w:r w:rsidR="00F13B94">
          <w:rPr>
            <w:noProof/>
            <w:sz w:val="18"/>
          </w:rPr>
          <w:t>2</w:t>
        </w:r>
        <w:r w:rsidRPr="00A51CDB">
          <w:rPr>
            <w:noProof/>
            <w:sz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2DAE" w:rsidRDefault="00192D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1C09" w:rsidRDefault="009E1C09" w:rsidP="00F7166E">
      <w:pPr>
        <w:spacing w:after="0" w:line="240" w:lineRule="auto"/>
      </w:pPr>
      <w:r>
        <w:separator/>
      </w:r>
    </w:p>
  </w:footnote>
  <w:footnote w:type="continuationSeparator" w:id="0">
    <w:p w:rsidR="009E1C09" w:rsidRDefault="009E1C09" w:rsidP="00F7166E">
      <w:pPr>
        <w:spacing w:after="0" w:line="240" w:lineRule="auto"/>
      </w:pPr>
      <w:r>
        <w:continuationSeparator/>
      </w:r>
    </w:p>
  </w:footnote>
  <w:footnote w:id="1">
    <w:p w:rsidR="00856C7B" w:rsidRDefault="00856C7B">
      <w:pPr>
        <w:pStyle w:val="FootnoteText"/>
      </w:pPr>
      <w:r>
        <w:rPr>
          <w:rStyle w:val="FootnoteReference"/>
        </w:rPr>
        <w:footnoteRef/>
      </w:r>
      <w:r>
        <w:t xml:space="preserve"> </w:t>
      </w:r>
      <w:r w:rsidR="00F2468E">
        <w:t>Within the next five years, m</w:t>
      </w:r>
      <w:r>
        <w:t xml:space="preserve">any of the listed future changes should move to the Previous Changes section of the </w:t>
      </w:r>
      <w:r w:rsidR="00872584">
        <w:t>Five-Year</w:t>
      </w:r>
      <w:r w:rsidR="00F2468E">
        <w:t xml:space="preserve"> </w:t>
      </w:r>
      <w:r>
        <w:t xml:space="preserve">Services Plan. </w:t>
      </w:r>
    </w:p>
  </w:footnote>
  <w:footnote w:id="2">
    <w:p w:rsidR="00203ED8" w:rsidRDefault="00203ED8" w:rsidP="00203ED8">
      <w:pPr>
        <w:pStyle w:val="FootnoteText"/>
      </w:pPr>
      <w:r>
        <w:rPr>
          <w:rStyle w:val="FootnoteReference"/>
        </w:rPr>
        <w:footnoteRef/>
      </w:r>
      <w:r>
        <w:t xml:space="preserve"> Before this time, Southern Region civil cases were spread among ten </w:t>
      </w:r>
      <w:r w:rsidR="00114F55">
        <w:t xml:space="preserve">District Judges </w:t>
      </w:r>
      <w:r>
        <w:t xml:space="preserve">and four </w:t>
      </w:r>
      <w:r w:rsidR="00114F55">
        <w:t xml:space="preserve">Magistrate Judges </w:t>
      </w:r>
      <w:r>
        <w:t xml:space="preserve">and the significance of the case load was unknown. While many Southern Region criminal cases were assigned to a single </w:t>
      </w:r>
      <w:r w:rsidR="00114F55">
        <w:t>District Judge</w:t>
      </w:r>
      <w:r>
        <w:t>, many were not, so the total criminal caseload originating in the region was unknown.</w:t>
      </w:r>
    </w:p>
  </w:footnote>
  <w:footnote w:id="3">
    <w:p w:rsidR="00FF761D" w:rsidRPr="00872584" w:rsidRDefault="00FF761D" w:rsidP="00FF761D">
      <w:pPr>
        <w:rPr>
          <w:rStyle w:val="FootnoteTextChar"/>
        </w:rPr>
      </w:pPr>
      <w:r>
        <w:rPr>
          <w:rStyle w:val="FootnoteReference"/>
        </w:rPr>
        <w:footnoteRef/>
      </w:r>
      <w:r>
        <w:t xml:space="preserve"> </w:t>
      </w:r>
      <w:r w:rsidRPr="00872584">
        <w:rPr>
          <w:rStyle w:val="FootnoteTextChar"/>
        </w:rPr>
        <w:t xml:space="preserve">By January 2020, it is predicted this </w:t>
      </w:r>
      <w:r w:rsidR="00114F55">
        <w:rPr>
          <w:rStyle w:val="FootnoteTextChar"/>
        </w:rPr>
        <w:t>District J</w:t>
      </w:r>
      <w:r w:rsidRPr="00872584">
        <w:rPr>
          <w:rStyle w:val="FootnoteTextChar"/>
        </w:rPr>
        <w:t xml:space="preserve">udge’s </w:t>
      </w:r>
      <w:r w:rsidR="00C800B1">
        <w:rPr>
          <w:rStyle w:val="FootnoteTextChar"/>
        </w:rPr>
        <w:t xml:space="preserve">civil and criminal </w:t>
      </w:r>
      <w:r w:rsidRPr="00872584">
        <w:rPr>
          <w:rStyle w:val="FootnoteTextChar"/>
        </w:rPr>
        <w:t>caseload will nearly all be from the Southern Region.</w:t>
      </w:r>
    </w:p>
  </w:footnote>
  <w:footnote w:id="4">
    <w:p w:rsidR="00093147" w:rsidRDefault="00093147">
      <w:pPr>
        <w:pStyle w:val="FootnoteText"/>
      </w:pPr>
      <w:r>
        <w:rPr>
          <w:rStyle w:val="FootnoteReference"/>
        </w:rPr>
        <w:footnoteRef/>
      </w:r>
      <w:r>
        <w:t xml:space="preserve"> This law clerk currently occupies state-owned space not leased to the </w:t>
      </w:r>
      <w:r w:rsidR="00F529C6">
        <w:t xml:space="preserve">Federal Court </w:t>
      </w:r>
      <w:r w:rsidR="00872584">
        <w:t>because no leased space is available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2DAE" w:rsidRDefault="00192D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2DAE" w:rsidRDefault="00192D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2DAE" w:rsidRDefault="00192D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F80CEE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248EA6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60E13C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75EDC6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7C04E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AA268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E181DC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986B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F7028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F8C5A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321"/>
    <w:rsid w:val="0002292C"/>
    <w:rsid w:val="0003067A"/>
    <w:rsid w:val="00030FC7"/>
    <w:rsid w:val="00053CF5"/>
    <w:rsid w:val="000732DA"/>
    <w:rsid w:val="00093147"/>
    <w:rsid w:val="000A5D5E"/>
    <w:rsid w:val="000B0056"/>
    <w:rsid w:val="000C5F3D"/>
    <w:rsid w:val="000E4105"/>
    <w:rsid w:val="000F7C57"/>
    <w:rsid w:val="0010656F"/>
    <w:rsid w:val="00114F55"/>
    <w:rsid w:val="00116E3E"/>
    <w:rsid w:val="00140066"/>
    <w:rsid w:val="00142321"/>
    <w:rsid w:val="00151F86"/>
    <w:rsid w:val="0016169E"/>
    <w:rsid w:val="00192DAE"/>
    <w:rsid w:val="001B7072"/>
    <w:rsid w:val="001F3860"/>
    <w:rsid w:val="00203ED8"/>
    <w:rsid w:val="00203EEE"/>
    <w:rsid w:val="0020798E"/>
    <w:rsid w:val="00220225"/>
    <w:rsid w:val="00244B01"/>
    <w:rsid w:val="00251A9C"/>
    <w:rsid w:val="00262F38"/>
    <w:rsid w:val="00264897"/>
    <w:rsid w:val="003057C6"/>
    <w:rsid w:val="003124DB"/>
    <w:rsid w:val="00330211"/>
    <w:rsid w:val="00341B7F"/>
    <w:rsid w:val="0038566E"/>
    <w:rsid w:val="003A2B41"/>
    <w:rsid w:val="003B274B"/>
    <w:rsid w:val="003D6458"/>
    <w:rsid w:val="003E29EB"/>
    <w:rsid w:val="003F0221"/>
    <w:rsid w:val="00416449"/>
    <w:rsid w:val="00453CC9"/>
    <w:rsid w:val="00457359"/>
    <w:rsid w:val="004A1EF5"/>
    <w:rsid w:val="004B543E"/>
    <w:rsid w:val="004D2581"/>
    <w:rsid w:val="00515520"/>
    <w:rsid w:val="005239E2"/>
    <w:rsid w:val="005373BC"/>
    <w:rsid w:val="00564C34"/>
    <w:rsid w:val="005853A3"/>
    <w:rsid w:val="00587D31"/>
    <w:rsid w:val="0059294F"/>
    <w:rsid w:val="00647045"/>
    <w:rsid w:val="00676F17"/>
    <w:rsid w:val="006878FC"/>
    <w:rsid w:val="006918A3"/>
    <w:rsid w:val="006942F8"/>
    <w:rsid w:val="006C65A3"/>
    <w:rsid w:val="006E70A4"/>
    <w:rsid w:val="00710775"/>
    <w:rsid w:val="00736182"/>
    <w:rsid w:val="0075634B"/>
    <w:rsid w:val="00775323"/>
    <w:rsid w:val="0078413A"/>
    <w:rsid w:val="00785EEA"/>
    <w:rsid w:val="007E02DE"/>
    <w:rsid w:val="008032ED"/>
    <w:rsid w:val="008169CA"/>
    <w:rsid w:val="008175C2"/>
    <w:rsid w:val="0082391E"/>
    <w:rsid w:val="0084316E"/>
    <w:rsid w:val="008442BD"/>
    <w:rsid w:val="00856C7B"/>
    <w:rsid w:val="00865C48"/>
    <w:rsid w:val="00870D91"/>
    <w:rsid w:val="00872584"/>
    <w:rsid w:val="008757ED"/>
    <w:rsid w:val="008860ED"/>
    <w:rsid w:val="00890F43"/>
    <w:rsid w:val="0089197B"/>
    <w:rsid w:val="008C3D77"/>
    <w:rsid w:val="00964908"/>
    <w:rsid w:val="00965F95"/>
    <w:rsid w:val="00967420"/>
    <w:rsid w:val="009A0FE5"/>
    <w:rsid w:val="009C5C9C"/>
    <w:rsid w:val="009E1C09"/>
    <w:rsid w:val="00A1605A"/>
    <w:rsid w:val="00A17922"/>
    <w:rsid w:val="00A2322A"/>
    <w:rsid w:val="00A410A0"/>
    <w:rsid w:val="00A4732C"/>
    <w:rsid w:val="00A51CDB"/>
    <w:rsid w:val="00A522C5"/>
    <w:rsid w:val="00A76890"/>
    <w:rsid w:val="00A8791E"/>
    <w:rsid w:val="00AA0492"/>
    <w:rsid w:val="00AC1267"/>
    <w:rsid w:val="00AC7C96"/>
    <w:rsid w:val="00B002A3"/>
    <w:rsid w:val="00B120DE"/>
    <w:rsid w:val="00B24EC7"/>
    <w:rsid w:val="00B27459"/>
    <w:rsid w:val="00B421B6"/>
    <w:rsid w:val="00B54D25"/>
    <w:rsid w:val="00B9304A"/>
    <w:rsid w:val="00BB02D4"/>
    <w:rsid w:val="00BC4DC2"/>
    <w:rsid w:val="00C159B6"/>
    <w:rsid w:val="00C43D24"/>
    <w:rsid w:val="00C445D1"/>
    <w:rsid w:val="00C5695F"/>
    <w:rsid w:val="00C65968"/>
    <w:rsid w:val="00C800B1"/>
    <w:rsid w:val="00C85AF3"/>
    <w:rsid w:val="00D2650E"/>
    <w:rsid w:val="00D87D74"/>
    <w:rsid w:val="00DA1CC7"/>
    <w:rsid w:val="00DB357F"/>
    <w:rsid w:val="00DB5369"/>
    <w:rsid w:val="00DE5D30"/>
    <w:rsid w:val="00DF57AD"/>
    <w:rsid w:val="00E21F85"/>
    <w:rsid w:val="00E263E7"/>
    <w:rsid w:val="00E33C40"/>
    <w:rsid w:val="00E8153C"/>
    <w:rsid w:val="00E8202F"/>
    <w:rsid w:val="00E9353A"/>
    <w:rsid w:val="00EA3396"/>
    <w:rsid w:val="00EC6F62"/>
    <w:rsid w:val="00ED7BAF"/>
    <w:rsid w:val="00F13B94"/>
    <w:rsid w:val="00F2468E"/>
    <w:rsid w:val="00F32FBD"/>
    <w:rsid w:val="00F37876"/>
    <w:rsid w:val="00F529C6"/>
    <w:rsid w:val="00F5351B"/>
    <w:rsid w:val="00F55895"/>
    <w:rsid w:val="00F7166E"/>
    <w:rsid w:val="00FC196F"/>
    <w:rsid w:val="00FF7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694939"/>
  <w15:chartTrackingRefBased/>
  <w15:docId w15:val="{A22280D5-3612-0143-89BB-1B1318B61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2584"/>
  </w:style>
  <w:style w:type="paragraph" w:styleId="Heading1">
    <w:name w:val="heading 1"/>
    <w:basedOn w:val="Normal"/>
    <w:next w:val="Normal"/>
    <w:link w:val="Heading1Char"/>
    <w:uiPriority w:val="9"/>
    <w:qFormat/>
    <w:rsid w:val="00EA3396"/>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16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166E"/>
  </w:style>
  <w:style w:type="paragraph" w:styleId="Footer">
    <w:name w:val="footer"/>
    <w:basedOn w:val="Normal"/>
    <w:link w:val="FooterChar"/>
    <w:uiPriority w:val="99"/>
    <w:unhideWhenUsed/>
    <w:rsid w:val="00F716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166E"/>
  </w:style>
  <w:style w:type="paragraph" w:styleId="FootnoteText">
    <w:name w:val="footnote text"/>
    <w:basedOn w:val="Normal"/>
    <w:link w:val="FootnoteTextChar"/>
    <w:uiPriority w:val="99"/>
    <w:unhideWhenUsed/>
    <w:rsid w:val="004B543E"/>
    <w:pPr>
      <w:spacing w:after="100" w:line="240" w:lineRule="auto"/>
    </w:pPr>
    <w:rPr>
      <w:sz w:val="20"/>
      <w:szCs w:val="20"/>
    </w:rPr>
  </w:style>
  <w:style w:type="character" w:customStyle="1" w:styleId="FootnoteTextChar">
    <w:name w:val="Footnote Text Char"/>
    <w:basedOn w:val="DefaultParagraphFont"/>
    <w:link w:val="FootnoteText"/>
    <w:uiPriority w:val="99"/>
    <w:rsid w:val="004B543E"/>
    <w:rPr>
      <w:sz w:val="20"/>
      <w:szCs w:val="20"/>
    </w:rPr>
  </w:style>
  <w:style w:type="character" w:styleId="FootnoteReference">
    <w:name w:val="footnote reference"/>
    <w:basedOn w:val="DefaultParagraphFont"/>
    <w:uiPriority w:val="99"/>
    <w:semiHidden/>
    <w:unhideWhenUsed/>
    <w:rsid w:val="00093147"/>
    <w:rPr>
      <w:vertAlign w:val="superscript"/>
    </w:rPr>
  </w:style>
  <w:style w:type="paragraph" w:styleId="BalloonText">
    <w:name w:val="Balloon Text"/>
    <w:basedOn w:val="Normal"/>
    <w:link w:val="BalloonTextChar"/>
    <w:uiPriority w:val="99"/>
    <w:semiHidden/>
    <w:unhideWhenUsed/>
    <w:rsid w:val="00A51C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1CDB"/>
    <w:rPr>
      <w:rFonts w:ascii="Segoe UI" w:hAnsi="Segoe UI" w:cs="Segoe UI"/>
      <w:sz w:val="18"/>
      <w:szCs w:val="18"/>
    </w:rPr>
  </w:style>
  <w:style w:type="table" w:styleId="TableGrid">
    <w:name w:val="Table Grid"/>
    <w:basedOn w:val="TableNormal"/>
    <w:uiPriority w:val="39"/>
    <w:rsid w:val="00220225"/>
    <w:pPr>
      <w:spacing w:after="0" w:line="240" w:lineRule="auto"/>
    </w:pPr>
    <w:rPr>
      <w:rFonts w:ascii="Times New Roman" w:eastAsiaTheme="minorHAnsi"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A3396"/>
    <w:rPr>
      <w:b/>
    </w:rPr>
  </w:style>
  <w:style w:type="paragraph" w:styleId="TOCHeading">
    <w:name w:val="TOC Heading"/>
    <w:basedOn w:val="Heading1"/>
    <w:next w:val="Normal"/>
    <w:uiPriority w:val="39"/>
    <w:unhideWhenUsed/>
    <w:qFormat/>
    <w:rsid w:val="00EA3396"/>
    <w:pPr>
      <w:keepLines/>
      <w:spacing w:before="240" w:after="0"/>
      <w:outlineLvl w:val="9"/>
    </w:pPr>
    <w:rPr>
      <w:rFonts w:asciiTheme="majorHAnsi" w:eastAsiaTheme="majorEastAsia" w:hAnsiTheme="majorHAnsi" w:cstheme="majorBidi"/>
      <w:b w:val="0"/>
      <w:color w:val="2F5496" w:themeColor="accent1" w:themeShade="BF"/>
      <w:sz w:val="32"/>
      <w:szCs w:val="32"/>
    </w:rPr>
  </w:style>
  <w:style w:type="paragraph" w:styleId="TOC1">
    <w:name w:val="toc 1"/>
    <w:basedOn w:val="Normal"/>
    <w:next w:val="Normal"/>
    <w:autoRedefine/>
    <w:uiPriority w:val="39"/>
    <w:unhideWhenUsed/>
    <w:rsid w:val="00EA3396"/>
    <w:pPr>
      <w:spacing w:after="100"/>
    </w:pPr>
  </w:style>
  <w:style w:type="character" w:styleId="Hyperlink">
    <w:name w:val="Hyperlink"/>
    <w:basedOn w:val="DefaultParagraphFont"/>
    <w:uiPriority w:val="99"/>
    <w:unhideWhenUsed/>
    <w:rsid w:val="00EA339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02BD9-BA62-4F84-B87E-E99F314CA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7C0670A0.dotm</Template>
  <TotalTime>0</TotalTime>
  <Pages>6</Pages>
  <Words>2307</Words>
  <Characters>13152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Nuffer</dc:creator>
  <cp:keywords/>
  <dc:description/>
  <cp:lastModifiedBy>David Nuffer</cp:lastModifiedBy>
  <cp:revision>2</cp:revision>
  <cp:lastPrinted>2019-03-06T16:38:00Z</cp:lastPrinted>
  <dcterms:created xsi:type="dcterms:W3CDTF">2019-03-17T01:40:00Z</dcterms:created>
  <dcterms:modified xsi:type="dcterms:W3CDTF">2019-03-17T01:40:00Z</dcterms:modified>
</cp:coreProperties>
</file>