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F5D7A" w14:textId="77777777" w:rsidR="005D7027" w:rsidRPr="005D7027" w:rsidRDefault="005D7027" w:rsidP="005D7027">
      <w:pPr>
        <w:rPr>
          <w:rFonts w:eastAsia="Calibri" w:cs="Times New Roman"/>
          <w:szCs w:val="24"/>
        </w:rPr>
      </w:pPr>
      <w:r w:rsidRPr="005D7027">
        <w:rPr>
          <w:rFonts w:eastAsia="Calibri" w:cs="Times New Roman"/>
          <w:szCs w:val="24"/>
        </w:rPr>
        <w:t>_____________________________________________________________________________</w:t>
      </w:r>
    </w:p>
    <w:p w14:paraId="3A71DB5A" w14:textId="77777777" w:rsidR="005D7027" w:rsidRPr="005D7027" w:rsidRDefault="005D7027" w:rsidP="005D7027">
      <w:pPr>
        <w:jc w:val="center"/>
        <w:rPr>
          <w:rFonts w:eastAsia="Calibri" w:cs="Times New Roman"/>
          <w:szCs w:val="24"/>
        </w:rPr>
      </w:pPr>
    </w:p>
    <w:p w14:paraId="3CF8D0DB" w14:textId="77777777" w:rsidR="005D7027" w:rsidRPr="005D7027" w:rsidRDefault="005D7027" w:rsidP="005D7027">
      <w:pPr>
        <w:jc w:val="center"/>
        <w:rPr>
          <w:rFonts w:eastAsia="Calibri" w:cs="Times New Roman"/>
          <w:szCs w:val="24"/>
        </w:rPr>
      </w:pPr>
      <w:r w:rsidRPr="005D7027">
        <w:rPr>
          <w:rFonts w:eastAsia="Calibri" w:cs="Times New Roman"/>
          <w:szCs w:val="24"/>
        </w:rPr>
        <w:t>IN THE UNITED STATES DISTRICT COURT</w:t>
      </w:r>
    </w:p>
    <w:p w14:paraId="0103C09F" w14:textId="5CBF9E37" w:rsidR="005D7027" w:rsidRPr="005D7027" w:rsidRDefault="007E4E7E" w:rsidP="005D7027">
      <w:pPr>
        <w:jc w:val="center"/>
        <w:rPr>
          <w:rFonts w:eastAsia="Calibri" w:cs="Times New Roman"/>
          <w:szCs w:val="24"/>
        </w:rPr>
      </w:pPr>
      <w:r>
        <w:rPr>
          <w:rFonts w:eastAsia="Calibri" w:cs="Times New Roman"/>
          <w:szCs w:val="24"/>
        </w:rPr>
        <w:t xml:space="preserve">FOR THE </w:t>
      </w:r>
      <w:r w:rsidR="005D7027" w:rsidRPr="005D7027">
        <w:rPr>
          <w:rFonts w:eastAsia="Calibri" w:cs="Times New Roman"/>
          <w:szCs w:val="24"/>
        </w:rPr>
        <w:t>DISTRICT OF UTAH</w:t>
      </w:r>
    </w:p>
    <w:p w14:paraId="08014751" w14:textId="77777777" w:rsidR="005D7027" w:rsidRPr="005D7027" w:rsidRDefault="005D7027" w:rsidP="005D7027">
      <w:pPr>
        <w:rPr>
          <w:rFonts w:eastAsia="Calibri" w:cs="Times New Roman"/>
          <w:szCs w:val="24"/>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4650"/>
        <w:gridCol w:w="4602"/>
      </w:tblGrid>
      <w:tr w:rsidR="005D7027" w:rsidRPr="005D7027" w14:paraId="2E8D21C2" w14:textId="77777777" w:rsidTr="00F47FEB">
        <w:trPr>
          <w:trHeight w:val="2123"/>
        </w:trPr>
        <w:tc>
          <w:tcPr>
            <w:tcW w:w="4680" w:type="dxa"/>
          </w:tcPr>
          <w:p w14:paraId="3419A0B4" w14:textId="77777777" w:rsidR="005D7027" w:rsidRPr="005D7027" w:rsidRDefault="005D7027" w:rsidP="005D7027">
            <w:pPr>
              <w:rPr>
                <w:rFonts w:eastAsia="Calibri" w:cs="Times New Roman"/>
                <w:szCs w:val="24"/>
              </w:rPr>
            </w:pPr>
          </w:p>
          <w:p w14:paraId="5636FA29" w14:textId="27866451" w:rsidR="005D7027" w:rsidRPr="005D7027" w:rsidRDefault="005D7027" w:rsidP="005D7027">
            <w:pPr>
              <w:rPr>
                <w:rFonts w:eastAsia="Calibri" w:cs="Times New Roman"/>
                <w:szCs w:val="24"/>
              </w:rPr>
            </w:pPr>
          </w:p>
          <w:p w14:paraId="1627D425" w14:textId="77777777" w:rsidR="005D7027" w:rsidRPr="005D7027" w:rsidRDefault="005D7027" w:rsidP="005D7027">
            <w:pPr>
              <w:rPr>
                <w:rFonts w:eastAsia="Calibri" w:cs="Times New Roman"/>
                <w:szCs w:val="24"/>
              </w:rPr>
            </w:pPr>
          </w:p>
          <w:p w14:paraId="11025820" w14:textId="77777777" w:rsidR="005D7027" w:rsidRPr="005D7027" w:rsidRDefault="005D7027" w:rsidP="005D7027">
            <w:pPr>
              <w:tabs>
                <w:tab w:val="left" w:pos="2142"/>
              </w:tabs>
              <w:rPr>
                <w:rFonts w:eastAsia="Calibri" w:cs="Times New Roman"/>
                <w:szCs w:val="24"/>
              </w:rPr>
            </w:pPr>
            <w:r w:rsidRPr="005D7027">
              <w:rPr>
                <w:rFonts w:eastAsia="Calibri" w:cs="Times New Roman"/>
                <w:szCs w:val="24"/>
              </w:rPr>
              <w:tab/>
              <w:t>Plaintiff,</w:t>
            </w:r>
          </w:p>
          <w:p w14:paraId="21FB7E72" w14:textId="77777777" w:rsidR="005D7027" w:rsidRPr="005D7027" w:rsidRDefault="005D7027" w:rsidP="005D7027">
            <w:pPr>
              <w:rPr>
                <w:rFonts w:eastAsia="Calibri" w:cs="Times New Roman"/>
                <w:szCs w:val="24"/>
              </w:rPr>
            </w:pPr>
          </w:p>
          <w:p w14:paraId="482EA571" w14:textId="77777777" w:rsidR="005D7027" w:rsidRPr="005D7027" w:rsidRDefault="005D7027" w:rsidP="005D7027">
            <w:pPr>
              <w:rPr>
                <w:rFonts w:eastAsia="Calibri" w:cs="Times New Roman"/>
                <w:szCs w:val="24"/>
              </w:rPr>
            </w:pPr>
            <w:r w:rsidRPr="005D7027">
              <w:rPr>
                <w:rFonts w:eastAsia="Calibri" w:cs="Times New Roman"/>
                <w:szCs w:val="24"/>
              </w:rPr>
              <w:tab/>
              <w:t>vs.</w:t>
            </w:r>
          </w:p>
          <w:p w14:paraId="408DCB93" w14:textId="77777777" w:rsidR="005D7027" w:rsidRPr="005D7027" w:rsidRDefault="005D7027" w:rsidP="005D7027">
            <w:pPr>
              <w:rPr>
                <w:rFonts w:eastAsia="Calibri" w:cs="Times New Roman"/>
                <w:szCs w:val="24"/>
              </w:rPr>
            </w:pPr>
          </w:p>
          <w:p w14:paraId="755E7315" w14:textId="04E9D2B7" w:rsidR="005D7027" w:rsidRDefault="005D7027" w:rsidP="005D7027">
            <w:pPr>
              <w:rPr>
                <w:rFonts w:eastAsia="Calibri" w:cs="Times New Roman"/>
                <w:szCs w:val="24"/>
              </w:rPr>
            </w:pPr>
          </w:p>
          <w:p w14:paraId="19456F21" w14:textId="77777777" w:rsidR="007E4E7E" w:rsidRPr="005D7027" w:rsidRDefault="007E4E7E" w:rsidP="005D7027">
            <w:pPr>
              <w:rPr>
                <w:rFonts w:eastAsia="Calibri" w:cs="Times New Roman"/>
                <w:szCs w:val="24"/>
              </w:rPr>
            </w:pPr>
          </w:p>
          <w:p w14:paraId="4371ECE8" w14:textId="7CF3C6DE" w:rsidR="005D7027" w:rsidRPr="005D7027" w:rsidRDefault="005D7027" w:rsidP="005D7027">
            <w:pPr>
              <w:tabs>
                <w:tab w:val="left" w:pos="2157"/>
              </w:tabs>
              <w:rPr>
                <w:rFonts w:eastAsia="Calibri" w:cs="Times New Roman"/>
                <w:szCs w:val="24"/>
              </w:rPr>
            </w:pPr>
            <w:r w:rsidRPr="005D7027">
              <w:rPr>
                <w:rFonts w:eastAsia="Calibri" w:cs="Times New Roman"/>
                <w:szCs w:val="24"/>
              </w:rPr>
              <w:tab/>
            </w:r>
            <w:r w:rsidR="007E4E7E">
              <w:rPr>
                <w:rFonts w:eastAsia="Calibri" w:cs="Times New Roman"/>
                <w:szCs w:val="24"/>
              </w:rPr>
              <w:t>Defendants.</w:t>
            </w:r>
            <w:bookmarkStart w:id="0" w:name="_GoBack"/>
            <w:bookmarkEnd w:id="0"/>
          </w:p>
          <w:p w14:paraId="049A58ED" w14:textId="77777777" w:rsidR="005D7027" w:rsidRPr="005D7027" w:rsidRDefault="005D7027" w:rsidP="005D7027">
            <w:pPr>
              <w:rPr>
                <w:rFonts w:eastAsia="Calibri" w:cs="Times New Roman"/>
                <w:szCs w:val="24"/>
              </w:rPr>
            </w:pPr>
          </w:p>
        </w:tc>
        <w:tc>
          <w:tcPr>
            <w:tcW w:w="4680" w:type="dxa"/>
          </w:tcPr>
          <w:p w14:paraId="30522B01" w14:textId="77777777" w:rsidR="005D7027" w:rsidRPr="005D7027" w:rsidRDefault="005D7027" w:rsidP="005D7027">
            <w:pPr>
              <w:rPr>
                <w:rFonts w:eastAsia="Calibri" w:cs="Times New Roman"/>
                <w:szCs w:val="24"/>
              </w:rPr>
            </w:pPr>
          </w:p>
          <w:p w14:paraId="119938CB" w14:textId="77777777" w:rsidR="00F5098C" w:rsidRDefault="005D7027" w:rsidP="005D7027">
            <w:pPr>
              <w:rPr>
                <w:rFonts w:eastAsia="Calibri" w:cs="Times New Roman"/>
                <w:b/>
                <w:szCs w:val="24"/>
              </w:rPr>
            </w:pPr>
            <w:r>
              <w:rPr>
                <w:rFonts w:eastAsia="Calibri" w:cs="Times New Roman"/>
                <w:b/>
                <w:szCs w:val="24"/>
              </w:rPr>
              <w:t xml:space="preserve">ORDER REGARDING </w:t>
            </w:r>
          </w:p>
          <w:p w14:paraId="5B4893F6" w14:textId="3E247B1E" w:rsidR="005D7027" w:rsidRPr="005D7027" w:rsidRDefault="005D7027" w:rsidP="005D7027">
            <w:pPr>
              <w:rPr>
                <w:rFonts w:eastAsia="Calibri" w:cs="Times New Roman"/>
                <w:b/>
                <w:szCs w:val="24"/>
              </w:rPr>
            </w:pPr>
            <w:r>
              <w:rPr>
                <w:rFonts w:eastAsia="Calibri" w:cs="Times New Roman"/>
                <w:b/>
                <w:szCs w:val="24"/>
              </w:rPr>
              <w:t>JUROR CONTACT</w:t>
            </w:r>
          </w:p>
          <w:p w14:paraId="0A6132F7" w14:textId="77777777" w:rsidR="005D7027" w:rsidRPr="005D7027" w:rsidRDefault="005D7027" w:rsidP="005D7027">
            <w:pPr>
              <w:rPr>
                <w:rFonts w:eastAsia="Calibri" w:cs="Times New Roman"/>
                <w:szCs w:val="24"/>
              </w:rPr>
            </w:pPr>
          </w:p>
          <w:p w14:paraId="4DECE51A" w14:textId="77777777" w:rsidR="005D7027" w:rsidRPr="005D7027" w:rsidRDefault="005D7027" w:rsidP="005D7027">
            <w:pPr>
              <w:rPr>
                <w:rFonts w:eastAsia="Calibri" w:cs="Times New Roman"/>
                <w:szCs w:val="24"/>
              </w:rPr>
            </w:pPr>
          </w:p>
          <w:p w14:paraId="141DF934" w14:textId="77777777" w:rsidR="005D7027" w:rsidRPr="005D7027" w:rsidRDefault="005D7027" w:rsidP="005D7027">
            <w:pPr>
              <w:rPr>
                <w:rFonts w:eastAsia="Calibri" w:cs="Times New Roman"/>
                <w:szCs w:val="24"/>
              </w:rPr>
            </w:pPr>
          </w:p>
          <w:p w14:paraId="5CEE02CD" w14:textId="69C345CC" w:rsidR="005D7027" w:rsidRPr="005D7027" w:rsidRDefault="005D7027" w:rsidP="005D7027">
            <w:pPr>
              <w:rPr>
                <w:rFonts w:eastAsia="Calibri" w:cs="Times New Roman"/>
                <w:szCs w:val="24"/>
              </w:rPr>
            </w:pPr>
            <w:r w:rsidRPr="005D7027">
              <w:rPr>
                <w:rFonts w:eastAsia="Calibri" w:cs="Times New Roman"/>
                <w:szCs w:val="24"/>
              </w:rPr>
              <w:t xml:space="preserve">Case No.  </w:t>
            </w:r>
          </w:p>
          <w:p w14:paraId="31EE542E" w14:textId="77777777" w:rsidR="005D7027" w:rsidRPr="005D7027" w:rsidRDefault="005D7027" w:rsidP="005D7027">
            <w:pPr>
              <w:rPr>
                <w:rFonts w:eastAsia="Calibri" w:cs="Times New Roman"/>
                <w:szCs w:val="24"/>
              </w:rPr>
            </w:pPr>
          </w:p>
          <w:p w14:paraId="1F203D28" w14:textId="77777777" w:rsidR="005D7027" w:rsidRPr="005D7027" w:rsidRDefault="005D7027" w:rsidP="005D7027">
            <w:pPr>
              <w:rPr>
                <w:rFonts w:eastAsia="Calibri" w:cs="Times New Roman"/>
                <w:szCs w:val="24"/>
              </w:rPr>
            </w:pPr>
            <w:r w:rsidRPr="005D7027">
              <w:rPr>
                <w:rFonts w:eastAsia="Calibri" w:cs="Times New Roman"/>
                <w:szCs w:val="24"/>
              </w:rPr>
              <w:br/>
              <w:t>District Judge David Nuffer</w:t>
            </w:r>
          </w:p>
          <w:p w14:paraId="32D6F635" w14:textId="77777777" w:rsidR="005D7027" w:rsidRPr="005D7027" w:rsidRDefault="005D7027" w:rsidP="005D7027">
            <w:pPr>
              <w:rPr>
                <w:rFonts w:eastAsia="Calibri" w:cs="Times New Roman"/>
                <w:szCs w:val="24"/>
              </w:rPr>
            </w:pPr>
          </w:p>
          <w:p w14:paraId="7BB01E73" w14:textId="77777777" w:rsidR="005D7027" w:rsidRPr="005D7027" w:rsidRDefault="005D7027" w:rsidP="005D7027">
            <w:pPr>
              <w:rPr>
                <w:rFonts w:eastAsia="Calibri" w:cs="Times New Roman"/>
                <w:szCs w:val="24"/>
              </w:rPr>
            </w:pPr>
          </w:p>
        </w:tc>
      </w:tr>
    </w:tbl>
    <w:p w14:paraId="1B279EED" w14:textId="77777777" w:rsidR="005D7027" w:rsidRDefault="005D7027"/>
    <w:p w14:paraId="1A8DBF0D" w14:textId="4541F2A7" w:rsidR="006F745B" w:rsidRDefault="00F55E92" w:rsidP="005D7027">
      <w:pPr>
        <w:spacing w:line="480" w:lineRule="auto"/>
        <w:ind w:firstLine="720"/>
      </w:pPr>
      <w:r>
        <w:t>[</w:t>
      </w:r>
      <w:r w:rsidR="00D80D2C">
        <w:t>From the time</w:t>
      </w:r>
      <w:r w:rsidR="006F745B">
        <w:t xml:space="preserve"> the prospective jury panel was notified of the nature of this case in connection with questioning starting </w:t>
      </w:r>
      <w:r w:rsidR="003E43BC">
        <w:t xml:space="preserve">in </w:t>
      </w:r>
      <w:r w:rsidR="00352857">
        <w:t>[insert date]</w:t>
      </w:r>
      <w:r w:rsidR="006F745B">
        <w:t>, the jury</w:t>
      </w:r>
      <w:r w:rsidR="00E55324">
        <w:t>, which includes jurors and alternate jurors,</w:t>
      </w:r>
      <w:r w:rsidR="00BE03B1">
        <w:t xml:space="preserve"> has</w:t>
      </w:r>
      <w:r w:rsidR="006F745B">
        <w:t xml:space="preserve"> not </w:t>
      </w:r>
      <w:r w:rsidR="003E43BC">
        <w:t xml:space="preserve">been permitted </w:t>
      </w:r>
      <w:r w:rsidR="006F745B">
        <w:t>access to any news information on the case. News media have reported many matters not admitted in evidence in the trial</w:t>
      </w:r>
      <w:r w:rsidR="00C44715">
        <w:t xml:space="preserve"> and many matters occurring outside the presence of the jury</w:t>
      </w:r>
      <w:r w:rsidR="006F745B">
        <w:t>.</w:t>
      </w:r>
      <w:r>
        <w:t>]</w:t>
      </w:r>
      <w:r w:rsidR="00D24F72">
        <w:t xml:space="preserve"> </w:t>
      </w:r>
      <w:r w:rsidR="00EF30CF">
        <w:t xml:space="preserve"> </w:t>
      </w:r>
    </w:p>
    <w:p w14:paraId="6F616C94" w14:textId="49BA065D" w:rsidR="003F17E5" w:rsidRDefault="00F55E92" w:rsidP="005D7027">
      <w:pPr>
        <w:spacing w:line="480" w:lineRule="auto"/>
        <w:ind w:firstLine="720"/>
      </w:pPr>
      <w:r>
        <w:t>[</w:t>
      </w:r>
      <w:r w:rsidR="003F17E5">
        <w:t xml:space="preserve">The empaneled jury has been serving since </w:t>
      </w:r>
      <w:r w:rsidR="00352857">
        <w:t>[insert date]</w:t>
      </w:r>
      <w:r w:rsidR="003F17E5">
        <w:t>. During selection they were told to expect a four to five week trial, but we are now concluding the seventh w</w:t>
      </w:r>
      <w:r>
        <w:t>eek of their full time service.]</w:t>
      </w:r>
    </w:p>
    <w:p w14:paraId="7C4FD070" w14:textId="6CA9B5F8" w:rsidR="003F17E5" w:rsidRDefault="00F55E92" w:rsidP="005D7027">
      <w:pPr>
        <w:spacing w:line="480" w:lineRule="auto"/>
        <w:ind w:firstLine="720"/>
      </w:pPr>
      <w:r>
        <w:t>[</w:t>
      </w:r>
      <w:r w:rsidR="003F17E5">
        <w:t xml:space="preserve">The extended term of their service and their isolation from external sources of information recommends that </w:t>
      </w:r>
      <w:r w:rsidR="00BE03B1">
        <w:t xml:space="preserve">members of </w:t>
      </w:r>
      <w:r w:rsidR="003F17E5">
        <w:t>the jury not be subjected to immediate and direct inquiry about their service. That would place additional demands on them not related directly to their important service, and would be unfair at this time</w:t>
      </w:r>
      <w:r w:rsidR="00F415EA">
        <w:t xml:space="preserve"> as they try to resume normal life</w:t>
      </w:r>
      <w:r w:rsidR="003F17E5">
        <w:t>.</w:t>
      </w:r>
      <w:r>
        <w:t>]</w:t>
      </w:r>
      <w:r w:rsidR="003F17E5">
        <w:t xml:space="preserve">  </w:t>
      </w:r>
    </w:p>
    <w:p w14:paraId="4AE70EBE" w14:textId="19100039" w:rsidR="006F745B" w:rsidRDefault="006F745B" w:rsidP="005D7027">
      <w:pPr>
        <w:spacing w:line="480" w:lineRule="auto"/>
        <w:ind w:firstLine="720"/>
      </w:pPr>
      <w:r>
        <w:t xml:space="preserve">Federal Rule of Evidence 606 imposes strict limitations on the admissibility of testimony by jurors. These limitations are </w:t>
      </w:r>
      <w:r w:rsidR="005008CD">
        <w:t xml:space="preserve">intended to </w:t>
      </w:r>
      <w:r w:rsidR="005008CD" w:rsidRPr="005008CD">
        <w:t>protect jur</w:t>
      </w:r>
      <w:r w:rsidR="00E55324">
        <w:t>ors from harassment</w:t>
      </w:r>
      <w:r w:rsidR="005008CD">
        <w:t>; s</w:t>
      </w:r>
      <w:r w:rsidR="006C0858">
        <w:t>hield</w:t>
      </w:r>
      <w:r w:rsidR="005008CD">
        <w:t xml:space="preserve"> jurors from</w:t>
      </w:r>
      <w:r w:rsidR="00AA053F">
        <w:t xml:space="preserve"> </w:t>
      </w:r>
      <w:r w:rsidR="005008CD">
        <w:lastRenderedPageBreak/>
        <w:t xml:space="preserve">prying questions; </w:t>
      </w:r>
      <w:r w:rsidR="005008CD" w:rsidRPr="005008CD">
        <w:t>increase the certainty and finality of the jury's verdict</w:t>
      </w:r>
      <w:r w:rsidR="005008CD">
        <w:t xml:space="preserve">; </w:t>
      </w:r>
      <w:r w:rsidR="005008CD" w:rsidRPr="005008CD">
        <w:t>reduce the possibility of jury tampering and intimidation</w:t>
      </w:r>
      <w:r w:rsidR="005008CD">
        <w:t xml:space="preserve">; and </w:t>
      </w:r>
      <w:r w:rsidR="005008CD" w:rsidRPr="005008CD">
        <w:t>reduce the number of post-trial motions</w:t>
      </w:r>
      <w:r w:rsidR="000B520A">
        <w:t xml:space="preserve"> based on inadmissible evidence</w:t>
      </w:r>
      <w:r w:rsidR="005008CD">
        <w:t xml:space="preserve">. </w:t>
      </w:r>
    </w:p>
    <w:p w14:paraId="4B22A9A2" w14:textId="0750D94C" w:rsidR="003F17E5" w:rsidRDefault="003F17E5" w:rsidP="005D7027">
      <w:pPr>
        <w:spacing w:line="480" w:lineRule="auto"/>
        <w:ind w:firstLine="720"/>
      </w:pPr>
      <w:r>
        <w:t>Juror contact is often sought by counsel to help improve trial skills and strategy, or by counsel and others to satisfy curiosity about the decision making process. These and other concerns are subordinate to the goals of the justice system – reaching a verdict based on admissible evidence – and to the policies expressed in the preceding paragraph.</w:t>
      </w:r>
    </w:p>
    <w:p w14:paraId="38F8709A" w14:textId="532D10AC" w:rsidR="006F745B" w:rsidRDefault="00E55324" w:rsidP="003F17E5">
      <w:pPr>
        <w:spacing w:line="480" w:lineRule="auto"/>
        <w:ind w:firstLine="720"/>
      </w:pPr>
      <w:r>
        <w:t>T</w:t>
      </w:r>
      <w:r w:rsidR="006F745B">
        <w:t xml:space="preserve">his order imposes some limitations on jury contact as permitted by </w:t>
      </w:r>
      <w:proofErr w:type="spellStart"/>
      <w:r w:rsidR="006F745B">
        <w:t>DUCivR</w:t>
      </w:r>
      <w:proofErr w:type="spellEnd"/>
      <w:r w:rsidR="00EF30CF">
        <w:t xml:space="preserve"> </w:t>
      </w:r>
      <w:r w:rsidR="006F745B">
        <w:t>47-2</w:t>
      </w:r>
      <w:r w:rsidR="003F17E5">
        <w:t>, consistent with standing rules in many district courts</w:t>
      </w:r>
      <w:r w:rsidR="006F745B">
        <w:t>.</w:t>
      </w:r>
      <w:r w:rsidR="00D80D2C">
        <w:rPr>
          <w:rStyle w:val="FootnoteReference"/>
        </w:rPr>
        <w:footnoteReference w:id="1"/>
      </w:r>
    </w:p>
    <w:p w14:paraId="166EC991" w14:textId="77777777" w:rsidR="005D7027" w:rsidRDefault="005D7027"/>
    <w:p w14:paraId="4F7FD876" w14:textId="35E97661" w:rsidR="00E55324" w:rsidRDefault="00E55324" w:rsidP="005D7027">
      <w:pPr>
        <w:ind w:firstLine="720"/>
      </w:pPr>
      <w:r>
        <w:t>IT IS HEREBY ORDERED that</w:t>
      </w:r>
      <w:r w:rsidR="004B7006">
        <w:t>:</w:t>
      </w:r>
    </w:p>
    <w:p w14:paraId="2E0497CB" w14:textId="77777777" w:rsidR="006F745B" w:rsidRDefault="006F745B"/>
    <w:p w14:paraId="0140040B" w14:textId="3498A3BF" w:rsidR="005E054C" w:rsidRDefault="005E054C" w:rsidP="00250175">
      <w:pPr>
        <w:ind w:left="720"/>
      </w:pPr>
      <w:r>
        <w:t>a. No juror has an obligation to speak to any person</w:t>
      </w:r>
      <w:r w:rsidR="008231DE">
        <w:t xml:space="preserve"> </w:t>
      </w:r>
      <w:r>
        <w:t xml:space="preserve">about </w:t>
      </w:r>
      <w:r w:rsidR="008231DE">
        <w:t>this</w:t>
      </w:r>
      <w:r>
        <w:t xml:space="preserve"> case and may refuse all interviews or comments</w:t>
      </w:r>
      <w:r w:rsidR="00C44715">
        <w:t>.</w:t>
      </w:r>
    </w:p>
    <w:p w14:paraId="6C96CBAC" w14:textId="77777777" w:rsidR="005D7027" w:rsidRDefault="005D7027" w:rsidP="00250175">
      <w:pPr>
        <w:ind w:left="720"/>
      </w:pPr>
    </w:p>
    <w:p w14:paraId="0FE7BD71" w14:textId="436167CD" w:rsidR="005E054C" w:rsidRDefault="005E054C" w:rsidP="00250175">
      <w:pPr>
        <w:ind w:left="720"/>
      </w:pPr>
      <w:r>
        <w:t>b. No person may make repeated requests for</w:t>
      </w:r>
      <w:r w:rsidR="008231DE">
        <w:t xml:space="preserve"> </w:t>
      </w:r>
      <w:r>
        <w:t>interviews or questions af</w:t>
      </w:r>
      <w:r w:rsidR="008231DE">
        <w:t>ter a juror has expressed the</w:t>
      </w:r>
      <w:r>
        <w:t xml:space="preserve"> desire not to be interviewed</w:t>
      </w:r>
      <w:r w:rsidR="003F17E5">
        <w:t xml:space="preserve">, or failed to respond to a request </w:t>
      </w:r>
      <w:r w:rsidR="00F415EA">
        <w:t xml:space="preserve">for direct contact </w:t>
      </w:r>
      <w:r w:rsidR="003F17E5">
        <w:t>under paragraph e</w:t>
      </w:r>
      <w:r w:rsidR="00C44715">
        <w:t>.</w:t>
      </w:r>
    </w:p>
    <w:p w14:paraId="701080AA" w14:textId="77777777" w:rsidR="005D7027" w:rsidRDefault="005D7027" w:rsidP="00250175">
      <w:pPr>
        <w:ind w:left="720"/>
      </w:pPr>
    </w:p>
    <w:p w14:paraId="485B484E" w14:textId="77777777" w:rsidR="005E054C" w:rsidRDefault="008231DE" w:rsidP="00250175">
      <w:pPr>
        <w:ind w:left="720"/>
      </w:pPr>
      <w:r>
        <w:t xml:space="preserve">c. No juror </w:t>
      </w:r>
      <w:r w:rsidR="005E054C">
        <w:t>who consents to be</w:t>
      </w:r>
      <w:r>
        <w:t xml:space="preserve"> </w:t>
      </w:r>
      <w:r w:rsidR="005E054C">
        <w:t>interviewed may disclose any information with respect to</w:t>
      </w:r>
      <w:r>
        <w:t xml:space="preserve"> </w:t>
      </w:r>
      <w:r w:rsidR="005E054C">
        <w:t>the following:</w:t>
      </w:r>
    </w:p>
    <w:p w14:paraId="70F1BCC6" w14:textId="77777777" w:rsidR="005E054C" w:rsidRDefault="005E054C" w:rsidP="00250175">
      <w:pPr>
        <w:ind w:left="1440"/>
      </w:pPr>
      <w:r>
        <w:t>1. The specific vote of any juror other than</w:t>
      </w:r>
      <w:r w:rsidR="008231DE">
        <w:t xml:space="preserve"> </w:t>
      </w:r>
      <w:r>
        <w:t>the juror being interviewed;</w:t>
      </w:r>
    </w:p>
    <w:p w14:paraId="04E3F7C3" w14:textId="36230B1A" w:rsidR="005E054C" w:rsidRDefault="005E054C" w:rsidP="00250175">
      <w:pPr>
        <w:ind w:left="1440"/>
      </w:pPr>
      <w:r>
        <w:t xml:space="preserve">2. The </w:t>
      </w:r>
      <w:r w:rsidR="00D80D2C">
        <w:t xml:space="preserve">opinions expressed </w:t>
      </w:r>
      <w:r w:rsidR="00043756">
        <w:t xml:space="preserve">by other jurors </w:t>
      </w:r>
      <w:r w:rsidR="00D80D2C">
        <w:t xml:space="preserve">in </w:t>
      </w:r>
      <w:r>
        <w:t>deliberations;</w:t>
      </w:r>
    </w:p>
    <w:p w14:paraId="38A4A2D2" w14:textId="3ADC1F15" w:rsidR="008231DE" w:rsidRDefault="005E054C" w:rsidP="00250175">
      <w:pPr>
        <w:ind w:left="1440"/>
      </w:pPr>
      <w:r>
        <w:t>3.</w:t>
      </w:r>
      <w:r w:rsidR="008231DE">
        <w:t xml:space="preserve"> E</w:t>
      </w:r>
      <w:r>
        <w:t>vidence</w:t>
      </w:r>
      <w:r w:rsidR="008231DE">
        <w:t xml:space="preserve"> </w:t>
      </w:r>
      <w:r>
        <w:t xml:space="preserve">of </w:t>
      </w:r>
      <w:r w:rsidR="008231DE">
        <w:t xml:space="preserve">alleged </w:t>
      </w:r>
      <w:r>
        <w:t>improprie</w:t>
      </w:r>
      <w:r w:rsidR="008231DE">
        <w:t xml:space="preserve">ties in the jury's deliberation, other than </w:t>
      </w:r>
      <w:r w:rsidR="004B7006">
        <w:t>whether</w:t>
      </w:r>
    </w:p>
    <w:p w14:paraId="1F0727DC" w14:textId="29A13B20" w:rsidR="008231DE" w:rsidRDefault="008231DE" w:rsidP="004B7006">
      <w:pPr>
        <w:ind w:left="2160"/>
      </w:pPr>
      <w:r>
        <w:t>(A) extraneous prejudicial information</w:t>
      </w:r>
      <w:r w:rsidR="004B7006">
        <w:t xml:space="preserve"> was</w:t>
      </w:r>
      <w:r>
        <w:t xml:space="preserve"> improperly brought to the jury’s attention;</w:t>
      </w:r>
    </w:p>
    <w:p w14:paraId="7090E707" w14:textId="6B2CF851" w:rsidR="008231DE" w:rsidRDefault="008231DE" w:rsidP="00250175">
      <w:pPr>
        <w:ind w:left="1440" w:firstLine="720"/>
      </w:pPr>
      <w:r>
        <w:t xml:space="preserve">(B) an outside influence </w:t>
      </w:r>
      <w:r w:rsidR="00DE7C78">
        <w:t xml:space="preserve">was </w:t>
      </w:r>
      <w:r>
        <w:t>improperly brought to bear on any juror; or</w:t>
      </w:r>
    </w:p>
    <w:p w14:paraId="4424EB46" w14:textId="0531EA53" w:rsidR="005D7027" w:rsidRDefault="008231DE" w:rsidP="00D6325F">
      <w:pPr>
        <w:tabs>
          <w:tab w:val="left" w:pos="1233"/>
        </w:tabs>
        <w:ind w:left="2160"/>
      </w:pPr>
      <w:r>
        <w:t xml:space="preserve">(C) a mistake </w:t>
      </w:r>
      <w:r w:rsidR="00DE7C78">
        <w:t xml:space="preserve">was </w:t>
      </w:r>
      <w:r>
        <w:t>made in entering the verdict on the verdict form.</w:t>
      </w:r>
      <w:r w:rsidR="001E7A1A">
        <w:rPr>
          <w:rStyle w:val="FootnoteReference"/>
        </w:rPr>
        <w:footnoteReference w:id="2"/>
      </w:r>
    </w:p>
    <w:p w14:paraId="1AE19323" w14:textId="77777777" w:rsidR="00426364" w:rsidRDefault="00426364" w:rsidP="00D6325F">
      <w:pPr>
        <w:tabs>
          <w:tab w:val="left" w:pos="1233"/>
        </w:tabs>
        <w:ind w:left="2160"/>
      </w:pPr>
    </w:p>
    <w:p w14:paraId="1C113CE5" w14:textId="40F24A36" w:rsidR="001E7A1A" w:rsidRDefault="008231DE" w:rsidP="00250175">
      <w:pPr>
        <w:ind w:left="720"/>
      </w:pPr>
      <w:r>
        <w:t xml:space="preserve">d. </w:t>
      </w:r>
      <w:r w:rsidR="005E054C">
        <w:t>No p</w:t>
      </w:r>
      <w:r w:rsidR="005008CD">
        <w:t>erson</w:t>
      </w:r>
      <w:r w:rsidR="005E054C">
        <w:t xml:space="preserve"> shall contact, interview, examine or</w:t>
      </w:r>
      <w:r>
        <w:t xml:space="preserve"> question a juror</w:t>
      </w:r>
      <w:r w:rsidR="005E054C">
        <w:t xml:space="preserve">, except </w:t>
      </w:r>
      <w:r w:rsidR="005008CD">
        <w:t>as permitted in paragraph (e).</w:t>
      </w:r>
    </w:p>
    <w:p w14:paraId="5C59D6F6" w14:textId="77777777" w:rsidR="001E7A1A" w:rsidRPr="001E7A1A" w:rsidRDefault="001E7A1A" w:rsidP="00250175">
      <w:pPr>
        <w:ind w:left="720"/>
        <w:rPr>
          <w:b/>
        </w:rPr>
      </w:pPr>
    </w:p>
    <w:p w14:paraId="7D9876ED" w14:textId="0AD7F1DA" w:rsidR="008231DE" w:rsidRDefault="004B4D61" w:rsidP="00250175">
      <w:pPr>
        <w:ind w:left="720"/>
      </w:pPr>
      <w:r>
        <w:t>e</w:t>
      </w:r>
      <w:r w:rsidR="008231DE">
        <w:t>. Any person wishing to direct a communication to a juror may do so by providing a copy in a</w:t>
      </w:r>
      <w:r w:rsidR="001E7A1A">
        <w:t>n</w:t>
      </w:r>
      <w:r w:rsidR="008231DE">
        <w:t xml:space="preserve"> </w:t>
      </w:r>
      <w:r w:rsidR="001E7A1A">
        <w:t>un</w:t>
      </w:r>
      <w:r w:rsidR="008231DE">
        <w:t xml:space="preserve">sealed envelope </w:t>
      </w:r>
      <w:r w:rsidR="005E78CA">
        <w:t>with a separate written statement that the person desires the communication be sent</w:t>
      </w:r>
      <w:r w:rsidR="008231DE">
        <w:t xml:space="preserve"> to </w:t>
      </w:r>
      <w:r w:rsidR="005E78CA">
        <w:t>a</w:t>
      </w:r>
      <w:r w:rsidR="008231DE">
        <w:t xml:space="preserve"> juror </w:t>
      </w:r>
      <w:r w:rsidR="005E78CA">
        <w:t xml:space="preserve">identified </w:t>
      </w:r>
      <w:r w:rsidR="008231DE">
        <w:t>by juror number</w:t>
      </w:r>
      <w:r w:rsidR="005008CD">
        <w:t xml:space="preserve">, and stating the reason such </w:t>
      </w:r>
      <w:r w:rsidR="006C0858">
        <w:t>contact is desired</w:t>
      </w:r>
      <w:r w:rsidR="008231DE">
        <w:t xml:space="preserve">. </w:t>
      </w:r>
      <w:r w:rsidR="003F17E5">
        <w:t xml:space="preserve">The communication may request an opportunity for direct contact, and provide contact information for the person initiating the communication. </w:t>
      </w:r>
      <w:r w:rsidR="001E7A1A">
        <w:t xml:space="preserve">If the </w:t>
      </w:r>
      <w:r w:rsidR="00F62097">
        <w:t xml:space="preserve">court determines that </w:t>
      </w:r>
      <w:r w:rsidR="006C0858">
        <w:t xml:space="preserve">the </w:t>
      </w:r>
      <w:r w:rsidR="001E7A1A">
        <w:t>content of the communication does not violate this order, t</w:t>
      </w:r>
      <w:r w:rsidR="008231DE">
        <w:t>he jury administrator shall mail the communication to the juror. The jury administrator shall enclose a copy of this order with the mailed communication.</w:t>
      </w:r>
    </w:p>
    <w:p w14:paraId="547459F9" w14:textId="77777777" w:rsidR="005D7027" w:rsidRDefault="005D7027" w:rsidP="00250175">
      <w:pPr>
        <w:ind w:left="720"/>
      </w:pPr>
    </w:p>
    <w:p w14:paraId="5D1760F3" w14:textId="08C0353D" w:rsidR="00F62097" w:rsidRDefault="00F62097" w:rsidP="00250175">
      <w:pPr>
        <w:ind w:left="720"/>
      </w:pPr>
      <w:r>
        <w:t xml:space="preserve">f. Any </w:t>
      </w:r>
      <w:r w:rsidR="003E43BC">
        <w:t>person violating</w:t>
      </w:r>
      <w:r>
        <w:t xml:space="preserve"> this order is subject to contempt of court and </w:t>
      </w:r>
      <w:r w:rsidR="003E43BC">
        <w:t xml:space="preserve">other </w:t>
      </w:r>
      <w:r>
        <w:t>possible sanctions.</w:t>
      </w:r>
    </w:p>
    <w:p w14:paraId="0EAC9075" w14:textId="77777777" w:rsidR="005D7027" w:rsidRDefault="005D7027" w:rsidP="00250175">
      <w:pPr>
        <w:ind w:left="720"/>
      </w:pPr>
    </w:p>
    <w:p w14:paraId="65D1AF33" w14:textId="51B0DEF0" w:rsidR="00E55324" w:rsidRDefault="00E55324" w:rsidP="00250175">
      <w:pPr>
        <w:ind w:left="720"/>
      </w:pPr>
      <w:r>
        <w:t xml:space="preserve">g. Any person aware of a violation of this order may file a motion or notify the jury administrator at </w:t>
      </w:r>
      <w:r w:rsidRPr="00E55324">
        <w:t xml:space="preserve">(801) 524-6285 </w:t>
      </w:r>
      <w:r w:rsidR="005E51FA">
        <w:t>or</w:t>
      </w:r>
      <w:r w:rsidR="005E51FA" w:rsidRPr="005E51FA">
        <w:t xml:space="preserve"> </w:t>
      </w:r>
      <w:hyperlink r:id="rId6" w:history="1">
        <w:r w:rsidR="005D7027" w:rsidRPr="00D84869">
          <w:rPr>
            <w:rStyle w:val="Hyperlink"/>
          </w:rPr>
          <w:t>utah_jury@utd.uscourts.gov</w:t>
        </w:r>
      </w:hyperlink>
      <w:r w:rsidR="005E51FA">
        <w:t xml:space="preserve">. </w:t>
      </w:r>
    </w:p>
    <w:p w14:paraId="2A15C0E0" w14:textId="77777777" w:rsidR="00D80D2C" w:rsidRDefault="00D80D2C" w:rsidP="00250175">
      <w:pPr>
        <w:ind w:left="720"/>
      </w:pPr>
    </w:p>
    <w:p w14:paraId="1F952140" w14:textId="118841F4" w:rsidR="00D80D2C" w:rsidRDefault="00D80D2C" w:rsidP="00250175">
      <w:pPr>
        <w:ind w:left="720"/>
      </w:pPr>
      <w:r>
        <w:t>h. This order may be reviewed</w:t>
      </w:r>
      <w:r w:rsidR="009F4097">
        <w:t xml:space="preserve"> and revised</w:t>
      </w:r>
      <w:r>
        <w:t xml:space="preserve"> on motion. Motions are most likely to be successful after some time has elapsed.</w:t>
      </w:r>
    </w:p>
    <w:p w14:paraId="0D2E9AAB" w14:textId="77777777" w:rsidR="005D7027" w:rsidRDefault="005D7027" w:rsidP="005E054C"/>
    <w:p w14:paraId="2992C81E" w14:textId="77777777" w:rsidR="005D7027" w:rsidRDefault="005D7027" w:rsidP="005E054C"/>
    <w:p w14:paraId="7C3F8A46" w14:textId="3E6DBB7C" w:rsidR="005D7027" w:rsidRDefault="005D7027" w:rsidP="001723CC">
      <w:r>
        <w:tab/>
      </w:r>
      <w:r w:rsidR="004B7006">
        <w:tab/>
      </w:r>
      <w:r w:rsidR="00352857">
        <w:t>Dated [insert date]</w:t>
      </w:r>
      <w:r w:rsidR="004B7006">
        <w:t>.</w:t>
      </w:r>
    </w:p>
    <w:p w14:paraId="2CA8A7A7" w14:textId="77777777" w:rsidR="005D7027" w:rsidRDefault="005D7027" w:rsidP="001723CC"/>
    <w:p w14:paraId="5D346DAF" w14:textId="68864EDD" w:rsidR="005D7027" w:rsidRDefault="005D7027" w:rsidP="0001248C">
      <w:pPr>
        <w:ind w:left="3600" w:firstLine="720"/>
      </w:pPr>
      <w:r>
        <w:t>BY THE COURT:</w:t>
      </w:r>
    </w:p>
    <w:p w14:paraId="3F60BF5F" w14:textId="12BE6874" w:rsidR="005D7027" w:rsidRDefault="005D7027" w:rsidP="0001248C">
      <w:pPr>
        <w:ind w:left="2880" w:firstLine="720"/>
      </w:pPr>
    </w:p>
    <w:p w14:paraId="7D9A6F75" w14:textId="77777777" w:rsidR="005D7027" w:rsidRDefault="005D7027" w:rsidP="0001248C">
      <w:pPr>
        <w:ind w:left="2880" w:firstLine="720"/>
      </w:pPr>
    </w:p>
    <w:p w14:paraId="28B2D471" w14:textId="23203379" w:rsidR="005D7027" w:rsidRDefault="005D7027" w:rsidP="0001248C">
      <w:pPr>
        <w:ind w:left="3600" w:firstLine="720"/>
      </w:pPr>
      <w:r>
        <w:t>____________________________</w:t>
      </w:r>
    </w:p>
    <w:p w14:paraId="6F8CACF8" w14:textId="77777777" w:rsidR="005D7027" w:rsidRDefault="005D7027" w:rsidP="0001248C">
      <w:pPr>
        <w:ind w:left="3600" w:firstLine="720"/>
      </w:pPr>
      <w:r>
        <w:t>David Nuffer</w:t>
      </w:r>
    </w:p>
    <w:p w14:paraId="02D48F99" w14:textId="77777777" w:rsidR="005D7027" w:rsidRDefault="005D7027" w:rsidP="0001248C">
      <w:pPr>
        <w:ind w:left="3600" w:firstLine="720"/>
      </w:pPr>
      <w:r>
        <w:t>United States District Judge</w:t>
      </w:r>
    </w:p>
    <w:p w14:paraId="2F958A78" w14:textId="77777777" w:rsidR="005D7027" w:rsidRDefault="005D7027"/>
    <w:p w14:paraId="7F13EC5A" w14:textId="77777777" w:rsidR="005D7027" w:rsidRDefault="005D7027" w:rsidP="005E054C"/>
    <w:sectPr w:rsidR="005D7027" w:rsidSect="00DE7C78">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D1369" w14:textId="77777777" w:rsidR="001E7A1A" w:rsidRDefault="001E7A1A" w:rsidP="001E7A1A">
      <w:r>
        <w:separator/>
      </w:r>
    </w:p>
  </w:endnote>
  <w:endnote w:type="continuationSeparator" w:id="0">
    <w:p w14:paraId="08813DCA" w14:textId="77777777" w:rsidR="001E7A1A" w:rsidRDefault="001E7A1A" w:rsidP="001E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400519"/>
      <w:docPartObj>
        <w:docPartGallery w:val="Page Numbers (Bottom of Page)"/>
        <w:docPartUnique/>
      </w:docPartObj>
    </w:sdtPr>
    <w:sdtEndPr>
      <w:rPr>
        <w:noProof/>
      </w:rPr>
    </w:sdtEndPr>
    <w:sdtContent>
      <w:p w14:paraId="305C0099" w14:textId="2C7C0D70" w:rsidR="00DE7C78" w:rsidRDefault="00DE7C78">
        <w:pPr>
          <w:pStyle w:val="Footer"/>
          <w:jc w:val="right"/>
        </w:pPr>
        <w:r>
          <w:fldChar w:fldCharType="begin"/>
        </w:r>
        <w:r>
          <w:instrText xml:space="preserve"> PAGE   \* MERGEFORMAT </w:instrText>
        </w:r>
        <w:r>
          <w:fldChar w:fldCharType="separate"/>
        </w:r>
        <w:r w:rsidR="007E4E7E">
          <w:rPr>
            <w:noProof/>
          </w:rPr>
          <w:t>3</w:t>
        </w:r>
        <w:r>
          <w:rPr>
            <w:noProof/>
          </w:rPr>
          <w:fldChar w:fldCharType="end"/>
        </w:r>
      </w:p>
    </w:sdtContent>
  </w:sdt>
  <w:p w14:paraId="34A0E17D" w14:textId="77777777" w:rsidR="00DE7C78" w:rsidRDefault="00DE7C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5B61F" w14:textId="77777777" w:rsidR="001E7A1A" w:rsidRDefault="001E7A1A" w:rsidP="001E7A1A">
      <w:r>
        <w:separator/>
      </w:r>
    </w:p>
  </w:footnote>
  <w:footnote w:type="continuationSeparator" w:id="0">
    <w:p w14:paraId="51EBF1E4" w14:textId="77777777" w:rsidR="001E7A1A" w:rsidRDefault="001E7A1A" w:rsidP="001E7A1A">
      <w:r>
        <w:continuationSeparator/>
      </w:r>
    </w:p>
  </w:footnote>
  <w:footnote w:id="1">
    <w:p w14:paraId="02E57BDE" w14:textId="38B8073B" w:rsidR="00D80D2C" w:rsidRDefault="00D80D2C" w:rsidP="00D6325F">
      <w:pPr>
        <w:pStyle w:val="FootnoteText"/>
        <w:spacing w:after="120"/>
      </w:pPr>
      <w:r>
        <w:rPr>
          <w:rStyle w:val="FootnoteReference"/>
        </w:rPr>
        <w:footnoteRef/>
      </w:r>
      <w:r>
        <w:t xml:space="preserve"> </w:t>
      </w:r>
      <w:r w:rsidR="00CB1EDB">
        <w:t xml:space="preserve">Local Civil Rule 47, W.D. Wash.; Local Criminal Rule 31, W.D. Wash.; Local Rule 47.1 D. Kan.; </w:t>
      </w:r>
      <w:proofErr w:type="spellStart"/>
      <w:r w:rsidR="00CB1EDB">
        <w:t>LRCiv</w:t>
      </w:r>
      <w:proofErr w:type="spellEnd"/>
      <w:r w:rsidR="00CB1EDB">
        <w:t xml:space="preserve"> 39.2, D. </w:t>
      </w:r>
      <w:proofErr w:type="spellStart"/>
      <w:r w:rsidR="00CB1EDB">
        <w:t>Az</w:t>
      </w:r>
      <w:proofErr w:type="spellEnd"/>
      <w:r w:rsidR="00CB1EDB">
        <w:t xml:space="preserve">,; </w:t>
      </w:r>
      <w:proofErr w:type="spellStart"/>
      <w:r w:rsidR="00CB1EDB">
        <w:t>D.C.Colo.LCivR</w:t>
      </w:r>
      <w:proofErr w:type="spellEnd"/>
      <w:r w:rsidR="00CB1EDB">
        <w:t xml:space="preserve"> 47.2.</w:t>
      </w:r>
    </w:p>
  </w:footnote>
  <w:footnote w:id="2">
    <w:p w14:paraId="0EE83F8A" w14:textId="39A53B6C" w:rsidR="001E7A1A" w:rsidRDefault="001E7A1A">
      <w:pPr>
        <w:pStyle w:val="FootnoteText"/>
      </w:pPr>
      <w:r>
        <w:rPr>
          <w:rStyle w:val="FootnoteReference"/>
        </w:rPr>
        <w:footnoteRef/>
      </w:r>
      <w:r>
        <w:t xml:space="preserve"> </w:t>
      </w:r>
      <w:bookmarkStart w:id="1" w:name="dabmci_c4e9129f4d8b4aa988f104e350526540"/>
      <w:r w:rsidR="0068253F">
        <w:fldChar w:fldCharType="begin"/>
      </w:r>
      <w:r w:rsidR="0068253F" w:rsidRPr="0068253F">
        <w:instrText xml:space="preserve"> HYPERLINK "https://www.westlaw.com/Document/N5DAD5230C0F511D8A8CA80DCF7582C6A/View/FullText.html?transitionType=Default&amp;contextData=(sc.Default)&amp;VR=3.0&amp;RS=da3.0" \o "https://www.westlaw.com/Document/N5DAD5230C0F511D8A8CA80DCF7582C6A/View/FullText.html?transitionType=Default&amp;contextData=(sc.Default)&amp;VR=3.0&amp;RS=da3.0" </w:instrText>
      </w:r>
      <w:r w:rsidR="0068253F">
        <w:fldChar w:fldCharType="separate"/>
      </w:r>
      <w:r w:rsidRPr="0068253F">
        <w:rPr>
          <w:rStyle w:val="Hyperlink"/>
          <w:u w:val="none"/>
        </w:rPr>
        <w:t xml:space="preserve">Fed. R. </w:t>
      </w:r>
      <w:proofErr w:type="spellStart"/>
      <w:r w:rsidRPr="0068253F">
        <w:rPr>
          <w:rStyle w:val="Hyperlink"/>
          <w:u w:val="none"/>
        </w:rPr>
        <w:t>Evid</w:t>
      </w:r>
      <w:proofErr w:type="spellEnd"/>
      <w:r w:rsidRPr="0068253F">
        <w:rPr>
          <w:rStyle w:val="Hyperlink"/>
          <w:u w:val="none"/>
        </w:rPr>
        <w:t>. 606(b)(2)</w:t>
      </w:r>
      <w:bookmarkEnd w:id="1"/>
      <w:r w:rsidR="0068253F">
        <w:fldChar w:fldCharType="end"/>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F2"/>
    <w:rsid w:val="00043756"/>
    <w:rsid w:val="000B520A"/>
    <w:rsid w:val="001E7A1A"/>
    <w:rsid w:val="0023790D"/>
    <w:rsid w:val="00250175"/>
    <w:rsid w:val="002F738E"/>
    <w:rsid w:val="00352857"/>
    <w:rsid w:val="003A3C09"/>
    <w:rsid w:val="003E43BC"/>
    <w:rsid w:val="003F17E5"/>
    <w:rsid w:val="00426364"/>
    <w:rsid w:val="004B4D61"/>
    <w:rsid w:val="004B7006"/>
    <w:rsid w:val="005008CD"/>
    <w:rsid w:val="005D7027"/>
    <w:rsid w:val="005E054C"/>
    <w:rsid w:val="005E51FA"/>
    <w:rsid w:val="005E78CA"/>
    <w:rsid w:val="0068253F"/>
    <w:rsid w:val="006C0858"/>
    <w:rsid w:val="006F745B"/>
    <w:rsid w:val="007E4E7E"/>
    <w:rsid w:val="008231DE"/>
    <w:rsid w:val="008F622E"/>
    <w:rsid w:val="009F0645"/>
    <w:rsid w:val="009F4097"/>
    <w:rsid w:val="00A158C4"/>
    <w:rsid w:val="00AA053F"/>
    <w:rsid w:val="00BE03B1"/>
    <w:rsid w:val="00BF091F"/>
    <w:rsid w:val="00C2773A"/>
    <w:rsid w:val="00C44715"/>
    <w:rsid w:val="00CB1EDB"/>
    <w:rsid w:val="00D24F72"/>
    <w:rsid w:val="00D6325F"/>
    <w:rsid w:val="00D80D2C"/>
    <w:rsid w:val="00DA03F2"/>
    <w:rsid w:val="00DE7C78"/>
    <w:rsid w:val="00E55324"/>
    <w:rsid w:val="00E92261"/>
    <w:rsid w:val="00EF30CF"/>
    <w:rsid w:val="00F415EA"/>
    <w:rsid w:val="00F43A38"/>
    <w:rsid w:val="00F5098C"/>
    <w:rsid w:val="00F55E92"/>
    <w:rsid w:val="00F6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ACAD5B"/>
  <w15:docId w15:val="{6DCB1457-2386-4223-8146-3277AAC3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8C4"/>
    <w:rPr>
      <w:color w:val="0563C1" w:themeColor="hyperlink"/>
      <w:u w:val="single"/>
    </w:rPr>
  </w:style>
  <w:style w:type="paragraph" w:styleId="FootnoteText">
    <w:name w:val="footnote text"/>
    <w:basedOn w:val="Normal"/>
    <w:link w:val="FootnoteTextChar"/>
    <w:uiPriority w:val="99"/>
    <w:semiHidden/>
    <w:unhideWhenUsed/>
    <w:rsid w:val="001E7A1A"/>
    <w:rPr>
      <w:sz w:val="20"/>
      <w:szCs w:val="20"/>
    </w:rPr>
  </w:style>
  <w:style w:type="character" w:customStyle="1" w:styleId="FootnoteTextChar">
    <w:name w:val="Footnote Text Char"/>
    <w:basedOn w:val="DefaultParagraphFont"/>
    <w:link w:val="FootnoteText"/>
    <w:uiPriority w:val="99"/>
    <w:semiHidden/>
    <w:rsid w:val="001E7A1A"/>
    <w:rPr>
      <w:sz w:val="20"/>
      <w:szCs w:val="20"/>
    </w:rPr>
  </w:style>
  <w:style w:type="character" w:styleId="FootnoteReference">
    <w:name w:val="footnote reference"/>
    <w:basedOn w:val="DefaultParagraphFont"/>
    <w:uiPriority w:val="99"/>
    <w:semiHidden/>
    <w:unhideWhenUsed/>
    <w:rsid w:val="001E7A1A"/>
    <w:rPr>
      <w:vertAlign w:val="superscript"/>
    </w:rPr>
  </w:style>
  <w:style w:type="character" w:styleId="CommentReference">
    <w:name w:val="annotation reference"/>
    <w:basedOn w:val="DefaultParagraphFont"/>
    <w:uiPriority w:val="99"/>
    <w:semiHidden/>
    <w:unhideWhenUsed/>
    <w:rsid w:val="00F62097"/>
    <w:rPr>
      <w:sz w:val="16"/>
      <w:szCs w:val="16"/>
    </w:rPr>
  </w:style>
  <w:style w:type="paragraph" w:styleId="CommentText">
    <w:name w:val="annotation text"/>
    <w:basedOn w:val="Normal"/>
    <w:link w:val="CommentTextChar"/>
    <w:uiPriority w:val="99"/>
    <w:semiHidden/>
    <w:unhideWhenUsed/>
    <w:rsid w:val="00F62097"/>
    <w:rPr>
      <w:sz w:val="20"/>
      <w:szCs w:val="20"/>
    </w:rPr>
  </w:style>
  <w:style w:type="character" w:customStyle="1" w:styleId="CommentTextChar">
    <w:name w:val="Comment Text Char"/>
    <w:basedOn w:val="DefaultParagraphFont"/>
    <w:link w:val="CommentText"/>
    <w:uiPriority w:val="99"/>
    <w:semiHidden/>
    <w:rsid w:val="00F62097"/>
    <w:rPr>
      <w:sz w:val="20"/>
      <w:szCs w:val="20"/>
    </w:rPr>
  </w:style>
  <w:style w:type="paragraph" w:styleId="CommentSubject">
    <w:name w:val="annotation subject"/>
    <w:basedOn w:val="CommentText"/>
    <w:next w:val="CommentText"/>
    <w:link w:val="CommentSubjectChar"/>
    <w:uiPriority w:val="99"/>
    <w:semiHidden/>
    <w:unhideWhenUsed/>
    <w:rsid w:val="00F62097"/>
    <w:rPr>
      <w:b/>
      <w:bCs/>
    </w:rPr>
  </w:style>
  <w:style w:type="character" w:customStyle="1" w:styleId="CommentSubjectChar">
    <w:name w:val="Comment Subject Char"/>
    <w:basedOn w:val="CommentTextChar"/>
    <w:link w:val="CommentSubject"/>
    <w:uiPriority w:val="99"/>
    <w:semiHidden/>
    <w:rsid w:val="00F62097"/>
    <w:rPr>
      <w:b/>
      <w:bCs/>
      <w:sz w:val="20"/>
      <w:szCs w:val="20"/>
    </w:rPr>
  </w:style>
  <w:style w:type="paragraph" w:styleId="BalloonText">
    <w:name w:val="Balloon Text"/>
    <w:basedOn w:val="Normal"/>
    <w:link w:val="BalloonTextChar"/>
    <w:uiPriority w:val="99"/>
    <w:semiHidden/>
    <w:unhideWhenUsed/>
    <w:rsid w:val="00F62097"/>
    <w:rPr>
      <w:rFonts w:ascii="Tahoma" w:hAnsi="Tahoma" w:cs="Tahoma"/>
      <w:sz w:val="16"/>
      <w:szCs w:val="16"/>
    </w:rPr>
  </w:style>
  <w:style w:type="character" w:customStyle="1" w:styleId="BalloonTextChar">
    <w:name w:val="Balloon Text Char"/>
    <w:basedOn w:val="DefaultParagraphFont"/>
    <w:link w:val="BalloonText"/>
    <w:uiPriority w:val="99"/>
    <w:semiHidden/>
    <w:rsid w:val="00F62097"/>
    <w:rPr>
      <w:rFonts w:ascii="Tahoma" w:hAnsi="Tahoma" w:cs="Tahoma"/>
      <w:sz w:val="16"/>
      <w:szCs w:val="16"/>
    </w:rPr>
  </w:style>
  <w:style w:type="table" w:styleId="TableGrid">
    <w:name w:val="Table Grid"/>
    <w:basedOn w:val="TableNormal"/>
    <w:uiPriority w:val="59"/>
    <w:rsid w:val="005D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7C78"/>
    <w:pPr>
      <w:tabs>
        <w:tab w:val="center" w:pos="4680"/>
        <w:tab w:val="right" w:pos="9360"/>
      </w:tabs>
    </w:pPr>
  </w:style>
  <w:style w:type="character" w:customStyle="1" w:styleId="HeaderChar">
    <w:name w:val="Header Char"/>
    <w:basedOn w:val="DefaultParagraphFont"/>
    <w:link w:val="Header"/>
    <w:uiPriority w:val="99"/>
    <w:rsid w:val="00DE7C78"/>
  </w:style>
  <w:style w:type="paragraph" w:styleId="Footer">
    <w:name w:val="footer"/>
    <w:basedOn w:val="Normal"/>
    <w:link w:val="FooterChar"/>
    <w:uiPriority w:val="99"/>
    <w:unhideWhenUsed/>
    <w:rsid w:val="00DE7C78"/>
    <w:pPr>
      <w:tabs>
        <w:tab w:val="center" w:pos="4680"/>
        <w:tab w:val="right" w:pos="9360"/>
      </w:tabs>
    </w:pPr>
  </w:style>
  <w:style w:type="character" w:customStyle="1" w:styleId="FooterChar">
    <w:name w:val="Footer Char"/>
    <w:basedOn w:val="DefaultParagraphFont"/>
    <w:link w:val="Footer"/>
    <w:uiPriority w:val="99"/>
    <w:rsid w:val="00DE7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tah_jury@utd.uscourts.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9D86F535.dotm</Template>
  <TotalTime>2</TotalTime>
  <Pages>3</Pages>
  <Words>645</Words>
  <Characters>3678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 District Court of Utah</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Nuffer</dc:creator>
  <cp:lastModifiedBy>Andrew Munson</cp:lastModifiedBy>
  <cp:revision>2</cp:revision>
  <cp:lastPrinted>2016-03-24T19:25:00Z</cp:lastPrinted>
  <dcterms:created xsi:type="dcterms:W3CDTF">2019-02-25T20:30:00Z</dcterms:created>
  <dcterms:modified xsi:type="dcterms:W3CDTF">2019-02-25T20:30:00Z</dcterms:modified>
</cp:coreProperties>
</file>